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02CC" w:rsidRPr="00702C84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702C84">
        <w:rPr>
          <w:rFonts w:ascii="Times New Roman" w:hAnsi="Times New Roman"/>
          <w:b/>
          <w:sz w:val="28"/>
          <w:szCs w:val="28"/>
        </w:rPr>
        <w:t>COM0</w:t>
      </w:r>
      <w:r w:rsidR="00B955CA" w:rsidRPr="00702C84">
        <w:rPr>
          <w:rFonts w:ascii="Times New Roman" w:hAnsi="Times New Roman"/>
          <w:b/>
          <w:sz w:val="28"/>
          <w:szCs w:val="28"/>
        </w:rPr>
        <w:t>5</w:t>
      </w:r>
      <w:r w:rsidRPr="00702C84">
        <w:rPr>
          <w:rFonts w:ascii="Times New Roman" w:hAnsi="Times New Roman"/>
          <w:b/>
          <w:sz w:val="28"/>
          <w:szCs w:val="28"/>
        </w:rPr>
        <w:t xml:space="preserve"> - </w:t>
      </w:r>
      <w:r w:rsidR="00702C84">
        <w:rPr>
          <w:rFonts w:ascii="Times New Roman" w:hAnsi="Times New Roman"/>
          <w:b/>
          <w:sz w:val="28"/>
          <w:szCs w:val="28"/>
        </w:rPr>
        <w:t>25</w:t>
      </w:r>
      <w:r w:rsidRPr="00702C84">
        <w:rPr>
          <w:rFonts w:ascii="Times New Roman" w:hAnsi="Times New Roman"/>
          <w:b/>
          <w:sz w:val="28"/>
          <w:szCs w:val="28"/>
        </w:rPr>
        <w:t xml:space="preserve">/05/2017 – MODIFICA AS ORIENTAÇÕES CONSTANTES </w:t>
      </w:r>
      <w:r w:rsidR="00B955CA" w:rsidRPr="00702C84">
        <w:rPr>
          <w:rFonts w:ascii="Times New Roman" w:hAnsi="Times New Roman"/>
          <w:b/>
          <w:sz w:val="28"/>
          <w:szCs w:val="28"/>
        </w:rPr>
        <w:t xml:space="preserve">DO </w:t>
      </w:r>
      <w:r w:rsidRPr="00702C84">
        <w:rPr>
          <w:rFonts w:ascii="Times New Roman" w:hAnsi="Times New Roman"/>
          <w:b/>
          <w:sz w:val="28"/>
          <w:szCs w:val="28"/>
        </w:rPr>
        <w:t>COMUNICADO DIAT SAT 04, DE 09/05/2017, PARA PREENCHIMENTO DE INFORMAÇÕES RELATIVAS À APURAÇÃO EM SEPARADO DO DÉBITO DECORRENTE DA UTILIZAÇÃO DE CRÉDITO PRESUMIDO EM SUBSTITUIÇÃO AOS CRÉDITOS PELA ENTRADA</w:t>
      </w:r>
      <w:r w:rsidR="000F615B">
        <w:rPr>
          <w:rFonts w:ascii="Times New Roman" w:hAnsi="Times New Roman"/>
          <w:b/>
          <w:sz w:val="28"/>
          <w:szCs w:val="28"/>
        </w:rPr>
        <w:t>.</w:t>
      </w:r>
    </w:p>
    <w:p w:rsidR="00B802CC" w:rsidRDefault="00B802CC" w:rsidP="00B802C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2350C7" w:rsidRDefault="002350C7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Foi encaminhado para publicação Portaria com modificações no layout e redação de dispositivos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que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foram implementad</w:t>
      </w:r>
      <w:r w:rsidR="00BF4F1B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s pela Portaria SEF nº 070, de 2017, que alterou o Manual e layout da DIME, </w:t>
      </w:r>
      <w:r w:rsidR="00E36BD0">
        <w:rPr>
          <w:rFonts w:ascii="Times New Roman" w:eastAsia="Times New Roman" w:hAnsi="Times New Roman"/>
          <w:sz w:val="24"/>
          <w:szCs w:val="24"/>
          <w:lang w:eastAsia="pt-BR"/>
        </w:rPr>
        <w:t xml:space="preserve">acrescentando </w:t>
      </w:r>
      <w:r w:rsidR="00C40DDA">
        <w:rPr>
          <w:rFonts w:ascii="Times New Roman" w:eastAsia="Times New Roman" w:hAnsi="Times New Roman"/>
          <w:sz w:val="24"/>
          <w:szCs w:val="24"/>
          <w:lang w:eastAsia="pt-BR"/>
        </w:rPr>
        <w:t>novo</w:t>
      </w:r>
      <w:r w:rsidR="001A240C"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C40DDA">
        <w:rPr>
          <w:rFonts w:ascii="Times New Roman" w:eastAsia="Times New Roman" w:hAnsi="Times New Roman"/>
          <w:sz w:val="24"/>
          <w:szCs w:val="24"/>
          <w:lang w:eastAsia="pt-BR"/>
        </w:rPr>
        <w:t xml:space="preserve"> itens n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o Quadro 09 e </w:t>
      </w:r>
      <w:r w:rsidR="00E36BD0">
        <w:rPr>
          <w:rFonts w:ascii="Times New Roman" w:eastAsia="Times New Roman" w:hAnsi="Times New Roman"/>
          <w:sz w:val="24"/>
          <w:szCs w:val="24"/>
          <w:lang w:eastAsia="pt-BR"/>
        </w:rPr>
        <w:t>no Quadro 14.</w:t>
      </w:r>
    </w:p>
    <w:p w:rsidR="002350C7" w:rsidRDefault="002350C7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350C7" w:rsidRDefault="00C40DDA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As </w:t>
      </w:r>
      <w:r w:rsidR="002350C7">
        <w:rPr>
          <w:rFonts w:ascii="Times New Roman" w:eastAsia="Times New Roman" w:hAnsi="Times New Roman"/>
          <w:sz w:val="24"/>
          <w:szCs w:val="24"/>
          <w:lang w:eastAsia="pt-BR"/>
        </w:rPr>
        <w:t xml:space="preserve">modificações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descritas abaixo constam da</w:t>
      </w:r>
      <w:r w:rsidR="002350C7">
        <w:rPr>
          <w:rFonts w:ascii="Times New Roman" w:eastAsia="Times New Roman" w:hAnsi="Times New Roman"/>
          <w:sz w:val="24"/>
          <w:szCs w:val="24"/>
          <w:lang w:eastAsia="pt-BR"/>
        </w:rPr>
        <w:t xml:space="preserve"> Portaria SEF nº XX, de XX/XX/2017, que será publicada em breve:</w:t>
      </w:r>
    </w:p>
    <w:p w:rsidR="002350C7" w:rsidRDefault="002350C7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2350C7" w:rsidRDefault="002350C7" w:rsidP="00235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</w:t>
      </w:r>
      <w:r w:rsidR="003D082A"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inclusão </w:t>
      </w: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>no Quadro 09 do ite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</w:t>
      </w: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03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8:</w:t>
      </w:r>
    </w:p>
    <w:p w:rsidR="002350C7" w:rsidRDefault="002350C7" w:rsidP="002350C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2350C7" w:rsidTr="0088371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50C7" w:rsidRDefault="002350C7" w:rsidP="0088371F">
            <w:pPr>
              <w:jc w:val="both"/>
            </w:pP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C7" w:rsidRDefault="002350C7" w:rsidP="0088371F">
            <w:pPr>
              <w:jc w:val="both"/>
            </w:pPr>
            <w:r>
              <w:t>DÉBITO</w:t>
            </w:r>
          </w:p>
        </w:tc>
      </w:tr>
      <w:tr w:rsidR="002350C7" w:rsidTr="0088371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C7" w:rsidRDefault="002350C7" w:rsidP="002350C7">
            <w:pPr>
              <w:jc w:val="both"/>
              <w:rPr>
                <w:b/>
              </w:rPr>
            </w:pPr>
            <w:r>
              <w:rPr>
                <w:b/>
              </w:rPr>
              <w:t>038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754" w:rsidRPr="00082C17" w:rsidRDefault="00225754" w:rsidP="0088371F">
            <w:pPr>
              <w:jc w:val="both"/>
              <w:rPr>
                <w:b/>
              </w:rPr>
            </w:pPr>
            <w:r w:rsidRPr="00225754">
              <w:rPr>
                <w:b/>
              </w:rPr>
              <w:t>Segregação de outros créditos permitidos para compensar com o débito pela utilização do crédito presumido</w:t>
            </w:r>
          </w:p>
        </w:tc>
      </w:tr>
      <w:tr w:rsidR="002350C7" w:rsidTr="0088371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350C7" w:rsidRPr="00082C17" w:rsidRDefault="00225754" w:rsidP="003D082A">
            <w:pPr>
              <w:jc w:val="both"/>
              <w:rPr>
                <w:sz w:val="20"/>
                <w:szCs w:val="20"/>
              </w:rPr>
            </w:pPr>
            <w:r w:rsidRPr="003D082A">
              <w:rPr>
                <w:sz w:val="20"/>
                <w:szCs w:val="20"/>
              </w:rPr>
              <w:t>Preencher com o valor de outros créditos não vedados para compensação com o débito pela utilização de crédito presumido, tais como a apropriação de valores relacionados ao recebimento de mercadoria em devolução</w:t>
            </w:r>
            <w:r w:rsidR="003D082A" w:rsidRPr="003D082A">
              <w:rPr>
                <w:sz w:val="20"/>
                <w:szCs w:val="20"/>
              </w:rPr>
              <w:t xml:space="preserve"> saída com utilização de crédito presumido em substituição aos créditos pela entrada</w:t>
            </w:r>
            <w:r w:rsidRPr="003D082A">
              <w:rPr>
                <w:sz w:val="20"/>
                <w:szCs w:val="20"/>
              </w:rPr>
              <w:t>.</w:t>
            </w:r>
          </w:p>
        </w:tc>
      </w:tr>
    </w:tbl>
    <w:p w:rsidR="002350C7" w:rsidRDefault="002350C7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D082A" w:rsidRDefault="003D082A" w:rsidP="003D082A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inclusão no Quadro 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14</w:t>
      </w: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do ite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m</w:t>
      </w:r>
      <w:r w:rsidRPr="00952252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03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1:</w:t>
      </w:r>
    </w:p>
    <w:p w:rsidR="003D082A" w:rsidRDefault="003D082A" w:rsidP="003D082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663"/>
        <w:gridCol w:w="8801"/>
      </w:tblGrid>
      <w:tr w:rsidR="003D082A" w:rsidTr="003D082A">
        <w:tc>
          <w:tcPr>
            <w:tcW w:w="663" w:type="dxa"/>
          </w:tcPr>
          <w:p w:rsidR="003D082A" w:rsidRDefault="003D082A" w:rsidP="0088371F">
            <w:pPr>
              <w:jc w:val="both"/>
            </w:pPr>
          </w:p>
        </w:tc>
        <w:tc>
          <w:tcPr>
            <w:tcW w:w="8801" w:type="dxa"/>
            <w:hideMark/>
          </w:tcPr>
          <w:p w:rsidR="003D082A" w:rsidRDefault="003D082A" w:rsidP="0088371F">
            <w:pPr>
              <w:jc w:val="both"/>
            </w:pPr>
            <w:r>
              <w:t>APURAÇÃO DO DÉBITO PELA APROPRIAÇÃO DO CRÉDITO PRESUMIDO</w:t>
            </w:r>
          </w:p>
        </w:tc>
      </w:tr>
      <w:tr w:rsidR="003D082A" w:rsidTr="0088371F">
        <w:tc>
          <w:tcPr>
            <w:tcW w:w="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A" w:rsidRDefault="003D082A" w:rsidP="003D082A">
            <w:pPr>
              <w:jc w:val="both"/>
              <w:rPr>
                <w:b/>
              </w:rPr>
            </w:pPr>
            <w:r>
              <w:rPr>
                <w:b/>
              </w:rPr>
              <w:t>031</w:t>
            </w:r>
          </w:p>
        </w:tc>
        <w:tc>
          <w:tcPr>
            <w:tcW w:w="8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A" w:rsidRPr="00082C17" w:rsidRDefault="003D082A" w:rsidP="0088371F">
            <w:pPr>
              <w:jc w:val="both"/>
              <w:rPr>
                <w:b/>
              </w:rPr>
            </w:pPr>
            <w:r w:rsidRPr="003D082A">
              <w:rPr>
                <w:b/>
              </w:rPr>
              <w:t>Créditos Permitidos para Compensar com o Débito pela Utilização do Crédito Presumido</w:t>
            </w:r>
          </w:p>
        </w:tc>
      </w:tr>
      <w:tr w:rsidR="003D082A" w:rsidTr="0088371F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82A" w:rsidRPr="00082C17" w:rsidRDefault="003D082A" w:rsidP="00B3410F">
            <w:pPr>
              <w:jc w:val="both"/>
              <w:rPr>
                <w:sz w:val="20"/>
                <w:szCs w:val="20"/>
              </w:rPr>
            </w:pPr>
            <w:r w:rsidRPr="003D082A">
              <w:rPr>
                <w:sz w:val="20"/>
                <w:szCs w:val="20"/>
              </w:rPr>
              <w:t>Preencher com valor segregado da apuração d</w:t>
            </w:r>
            <w:r w:rsidR="00B3410F">
              <w:rPr>
                <w:sz w:val="20"/>
                <w:szCs w:val="20"/>
              </w:rPr>
              <w:t xml:space="preserve">o mês transportado do item 038 </w:t>
            </w:r>
            <w:r w:rsidRPr="003D082A">
              <w:rPr>
                <w:sz w:val="20"/>
                <w:szCs w:val="20"/>
              </w:rPr>
              <w:t>do quadro 09, referente aos valores de outros créditos não vedados para compensação com o débito pela utilização de crédito presumido incorridos no mês</w:t>
            </w:r>
          </w:p>
        </w:tc>
      </w:tr>
    </w:tbl>
    <w:p w:rsidR="002350C7" w:rsidRDefault="002350C7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410F" w:rsidRPr="00B3410F" w:rsidRDefault="003D082A" w:rsidP="00F730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3410F">
        <w:rPr>
          <w:rFonts w:ascii="Times New Roman" w:eastAsia="Times New Roman" w:hAnsi="Times New Roman"/>
          <w:b/>
          <w:sz w:val="24"/>
          <w:szCs w:val="24"/>
          <w:lang w:eastAsia="pt-BR"/>
        </w:rPr>
        <w:t>- acrescenta o seguinte item ao item 3.2.9.</w:t>
      </w:r>
      <w:r w:rsidR="00B3410F" w:rsidRPr="00B3410F">
        <w:rPr>
          <w:rFonts w:ascii="Times New Roman" w:eastAsia="Times New Roman" w:hAnsi="Times New Roman"/>
          <w:b/>
          <w:sz w:val="24"/>
          <w:szCs w:val="24"/>
          <w:lang w:eastAsia="pt-BR"/>
        </w:rPr>
        <w:t>2:</w:t>
      </w:r>
    </w:p>
    <w:p w:rsidR="00B3410F" w:rsidRDefault="00B3410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3410F" w:rsidTr="0088371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F" w:rsidRPr="00082C17" w:rsidRDefault="00B3410F" w:rsidP="00B3410F">
            <w:pPr>
              <w:jc w:val="both"/>
              <w:rPr>
                <w:sz w:val="20"/>
                <w:szCs w:val="20"/>
              </w:rPr>
            </w:pPr>
            <w:r w:rsidRPr="00B3410F">
              <w:rPr>
                <w:b/>
                <w:sz w:val="20"/>
                <w:szCs w:val="20"/>
              </w:rPr>
              <w:t>g.1)</w:t>
            </w:r>
            <w:r w:rsidRPr="00B3410F">
              <w:rPr>
                <w:sz w:val="20"/>
                <w:szCs w:val="20"/>
              </w:rPr>
              <w:t xml:space="preserve"> Ao valor do item 076</w:t>
            </w:r>
            <w:r>
              <w:rPr>
                <w:sz w:val="20"/>
                <w:szCs w:val="20"/>
              </w:rPr>
              <w:t xml:space="preserve"> do Quadro 9</w:t>
            </w:r>
            <w:r w:rsidRPr="00B3410F">
              <w:rPr>
                <w:sz w:val="20"/>
                <w:szCs w:val="20"/>
              </w:rPr>
              <w:t xml:space="preserve"> será adicionado, ainda: o montante do débito informado no item 010 do Quadro 13, quando no percentual do crédito presumido concedido incluir a parcela do diferencial de alíquota nas saídas interestaduais à consumidor final localizado em outra unidade da federação, devida ao Estado, e o montante do débito correspondente às saídas promovidas por estabelecimento comercial do mesmo titular situado neste Estado, pelo estabelecimento industrial conforme o disposto no inciso VI do § 10 do art. 21 do Anexo do RICMS-01/SC</w:t>
            </w:r>
          </w:p>
        </w:tc>
      </w:tr>
    </w:tbl>
    <w:p w:rsidR="00B3410F" w:rsidRDefault="00B3410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B3410F" w:rsidRPr="00B3410F" w:rsidRDefault="00B3410F" w:rsidP="00F730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3410F">
        <w:rPr>
          <w:rFonts w:ascii="Times New Roman" w:eastAsia="Times New Roman" w:hAnsi="Times New Roman"/>
          <w:b/>
          <w:sz w:val="24"/>
          <w:szCs w:val="24"/>
          <w:lang w:eastAsia="pt-BR"/>
        </w:rPr>
        <w:t>- dá nova redação ao item 3.2.25.1:</w:t>
      </w:r>
    </w:p>
    <w:p w:rsidR="00B3410F" w:rsidRDefault="00B3410F" w:rsidP="00B3410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9464" w:type="dxa"/>
        <w:tblLayout w:type="fixed"/>
        <w:tblLook w:val="04A0" w:firstRow="1" w:lastRow="0" w:firstColumn="1" w:lastColumn="0" w:noHBand="0" w:noVBand="1"/>
      </w:tblPr>
      <w:tblGrid>
        <w:gridCol w:w="9464"/>
      </w:tblGrid>
      <w:tr w:rsidR="00B3410F" w:rsidTr="0088371F">
        <w:tc>
          <w:tcPr>
            <w:tcW w:w="9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410F" w:rsidRPr="00082C17" w:rsidRDefault="00B3410F" w:rsidP="0088371F">
            <w:pPr>
              <w:jc w:val="both"/>
              <w:rPr>
                <w:sz w:val="20"/>
                <w:szCs w:val="20"/>
              </w:rPr>
            </w:pPr>
            <w:r w:rsidRPr="00B3410F">
              <w:rPr>
                <w:b/>
                <w:sz w:val="20"/>
                <w:szCs w:val="20"/>
              </w:rPr>
              <w:t>a)</w:t>
            </w:r>
            <w:r w:rsidRPr="00B3410F">
              <w:rPr>
                <w:sz w:val="20"/>
                <w:szCs w:val="20"/>
              </w:rPr>
              <w:t xml:space="preserve"> Item 010 - Valor da Base de Cálculo das Saídas com Crédito Presumido - preencher com o valor previsto na legislação como base de cálculo para aplicação do crédito presumido respectivo. Na hipótese do inciso VI do § 10 do art. 21 do Anexo do RICMS-01/SC, a base de cálculo informada pelo estabelecimento industrial deverá estar adicionada dos correspondentes valores das saídas de mercadorias promovidas pelo estabelecimento comercial do mesmo titular situado neste Estado</w:t>
            </w:r>
          </w:p>
        </w:tc>
      </w:tr>
    </w:tbl>
    <w:p w:rsidR="00B3410F" w:rsidRDefault="00B3410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7F10" w:rsidRDefault="00727F10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240C" w:rsidRPr="00727F10" w:rsidRDefault="00727F10" w:rsidP="001A240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727F10">
        <w:rPr>
          <w:rFonts w:ascii="Times New Roman" w:eastAsia="Times New Roman" w:hAnsi="Times New Roman"/>
          <w:b/>
          <w:sz w:val="24"/>
          <w:szCs w:val="24"/>
          <w:lang w:eastAsia="pt-BR"/>
        </w:rPr>
        <w:t>CRÍTICAS DO VALIDADOR ON-LINE DA DIME PARA OS NOVOS ITENS E OUTROS AJUSTES:</w:t>
      </w:r>
    </w:p>
    <w:p w:rsidR="0098373F" w:rsidRDefault="0098373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7F10" w:rsidRPr="00CE3A1A" w:rsidRDefault="00727F10" w:rsidP="00F730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E3A1A">
        <w:rPr>
          <w:rFonts w:ascii="Times New Roman" w:eastAsia="Times New Roman" w:hAnsi="Times New Roman"/>
          <w:b/>
          <w:sz w:val="24"/>
          <w:szCs w:val="24"/>
          <w:lang w:eastAsia="pt-BR"/>
        </w:rPr>
        <w:t>- Inclusão das validações:</w:t>
      </w:r>
    </w:p>
    <w:p w:rsidR="00727F10" w:rsidRDefault="00727F10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708"/>
        <w:gridCol w:w="7194"/>
      </w:tblGrid>
      <w:tr w:rsidR="001A240C" w:rsidTr="00037C84">
        <w:tc>
          <w:tcPr>
            <w:tcW w:w="817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Quadro</w:t>
            </w:r>
          </w:p>
        </w:tc>
        <w:tc>
          <w:tcPr>
            <w:tcW w:w="851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Registro</w:t>
            </w:r>
          </w:p>
        </w:tc>
        <w:tc>
          <w:tcPr>
            <w:tcW w:w="708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Item</w:t>
            </w:r>
          </w:p>
        </w:tc>
        <w:tc>
          <w:tcPr>
            <w:tcW w:w="7194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Validação</w:t>
            </w:r>
          </w:p>
        </w:tc>
      </w:tr>
      <w:tr w:rsidR="001A240C" w:rsidTr="00037C84">
        <w:tc>
          <w:tcPr>
            <w:tcW w:w="817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851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038</w:t>
            </w:r>
          </w:p>
        </w:tc>
        <w:tc>
          <w:tcPr>
            <w:tcW w:w="7194" w:type="dxa"/>
          </w:tcPr>
          <w:p w:rsidR="001A240C" w:rsidRPr="001A240C" w:rsidRDefault="001A240C" w:rsidP="00037C84">
            <w:pPr>
              <w:jc w:val="both"/>
            </w:pPr>
            <w:r w:rsidRPr="001A240C">
              <w:t>Valor deve ser igual ao informado no item 031 do Quadro 14</w:t>
            </w:r>
          </w:p>
        </w:tc>
      </w:tr>
      <w:tr w:rsidR="001A240C" w:rsidTr="00037C84">
        <w:tc>
          <w:tcPr>
            <w:tcW w:w="817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031</w:t>
            </w:r>
          </w:p>
        </w:tc>
        <w:tc>
          <w:tcPr>
            <w:tcW w:w="7194" w:type="dxa"/>
          </w:tcPr>
          <w:p w:rsidR="001A240C" w:rsidRPr="001A240C" w:rsidRDefault="001A240C" w:rsidP="001A240C">
            <w:pPr>
              <w:jc w:val="both"/>
            </w:pPr>
            <w:r w:rsidRPr="001A240C">
              <w:t>Valor deve ser igual ao informado no item 038 do Quadro 09</w:t>
            </w:r>
          </w:p>
        </w:tc>
      </w:tr>
      <w:tr w:rsidR="001A240C" w:rsidTr="00037C84">
        <w:tc>
          <w:tcPr>
            <w:tcW w:w="817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35</w:t>
            </w:r>
          </w:p>
        </w:tc>
        <w:tc>
          <w:tcPr>
            <w:tcW w:w="708" w:type="dxa"/>
          </w:tcPr>
          <w:p w:rsidR="001A240C" w:rsidRDefault="001A240C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040</w:t>
            </w:r>
          </w:p>
        </w:tc>
        <w:tc>
          <w:tcPr>
            <w:tcW w:w="7194" w:type="dxa"/>
          </w:tcPr>
          <w:p w:rsidR="001A240C" w:rsidRPr="001A240C" w:rsidRDefault="001A240C" w:rsidP="001A240C">
            <w:pPr>
              <w:jc w:val="both"/>
            </w:pPr>
            <w:r w:rsidRPr="00C50E49">
              <w:t xml:space="preserve">Valor deve ser igual diferença </w:t>
            </w:r>
            <w:r>
              <w:t xml:space="preserve">entre </w:t>
            </w:r>
            <w:proofErr w:type="gramStart"/>
            <w:r w:rsidRPr="00C50E49">
              <w:t>o</w:t>
            </w:r>
            <w:r>
              <w:t>s</w:t>
            </w:r>
            <w:r w:rsidRPr="00C50E49">
              <w:t xml:space="preserve"> item</w:t>
            </w:r>
            <w:proofErr w:type="gramEnd"/>
            <w:r w:rsidRPr="00C50E49">
              <w:t xml:space="preserve"> 020 </w:t>
            </w:r>
            <w:r>
              <w:t>,</w:t>
            </w:r>
            <w:r w:rsidRPr="00C50E49">
              <w:t>030</w:t>
            </w:r>
            <w:r>
              <w:t xml:space="preserve"> e031</w:t>
            </w:r>
          </w:p>
        </w:tc>
      </w:tr>
    </w:tbl>
    <w:p w:rsidR="0098373F" w:rsidRDefault="0098373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A240C" w:rsidRPr="00CE3A1A" w:rsidRDefault="00727F10" w:rsidP="00F73002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E3A1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</w:t>
      </w:r>
      <w:r w:rsidR="001A240C" w:rsidRPr="00CE3A1A">
        <w:rPr>
          <w:rFonts w:ascii="Times New Roman" w:eastAsia="Times New Roman" w:hAnsi="Times New Roman"/>
          <w:b/>
          <w:sz w:val="24"/>
          <w:szCs w:val="24"/>
          <w:lang w:eastAsia="pt-BR"/>
        </w:rPr>
        <w:t>Foi desabilitada a seguinte validação do item 010 do Quadro 14:</w:t>
      </w:r>
    </w:p>
    <w:p w:rsidR="001A240C" w:rsidRDefault="001A240C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tbl>
      <w:tblPr>
        <w:tblStyle w:val="Tabelacomgrade"/>
        <w:tblW w:w="0" w:type="auto"/>
        <w:tblLayout w:type="fixed"/>
        <w:tblLook w:val="04A0" w:firstRow="1" w:lastRow="0" w:firstColumn="1" w:lastColumn="0" w:noHBand="0" w:noVBand="1"/>
      </w:tblPr>
      <w:tblGrid>
        <w:gridCol w:w="708"/>
        <w:gridCol w:w="7194"/>
      </w:tblGrid>
      <w:tr w:rsidR="0098373F" w:rsidRPr="00C50E49" w:rsidTr="00037C84">
        <w:tc>
          <w:tcPr>
            <w:tcW w:w="708" w:type="dxa"/>
          </w:tcPr>
          <w:p w:rsidR="0098373F" w:rsidRDefault="0098373F" w:rsidP="00037C84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010</w:t>
            </w:r>
          </w:p>
        </w:tc>
        <w:tc>
          <w:tcPr>
            <w:tcW w:w="7194" w:type="dxa"/>
          </w:tcPr>
          <w:p w:rsidR="0098373F" w:rsidRPr="00C50E49" w:rsidRDefault="0098373F" w:rsidP="00037C84">
            <w:pPr>
              <w:jc w:val="both"/>
            </w:pPr>
            <w:r w:rsidRPr="00C50E49">
              <w:t>Valor deve ser menor ou igual ao informado no item 060 do quadro 03</w:t>
            </w:r>
          </w:p>
        </w:tc>
      </w:tr>
    </w:tbl>
    <w:p w:rsidR="0098373F" w:rsidRDefault="0098373F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27F10" w:rsidRDefault="00727F10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793859" w:rsidRDefault="00793859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F73002" w:rsidRPr="00CE3A1A">
        <w:rPr>
          <w:rFonts w:ascii="Times New Roman" w:eastAsia="Times New Roman" w:hAnsi="Times New Roman"/>
          <w:sz w:val="24"/>
          <w:szCs w:val="24"/>
          <w:lang w:eastAsia="pt-BR"/>
        </w:rPr>
        <w:t xml:space="preserve"> publicação da Portaria SEF nº 0XX, de DD/05/17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alterando disposições da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Portaria SEF nº 070, de 2017, implicam em modificações das Orientações descritas anteriormente no Comunicado DIAT SAT 04, de 09/05/17, conforme descrito abaixo:</w:t>
      </w:r>
    </w:p>
    <w:p w:rsidR="00B802CC" w:rsidRDefault="00B802CC" w:rsidP="00F7300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 </w:t>
      </w: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1 </w:t>
      </w:r>
      <w:r w:rsidR="008B7618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Recebimento em </w:t>
      </w:r>
      <w:r w:rsidR="00392D7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d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evolução de mercadoria saída com utilização de crédito presumido em substituição aos créditos pela entrada: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A20B8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1.1.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no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novo item </w:t>
      </w:r>
      <w:r w:rsidRPr="000A20B8">
        <w:rPr>
          <w:rFonts w:ascii="Times New Roman" w:eastAsia="Times New Roman" w:hAnsi="Times New Roman"/>
          <w:b/>
          <w:sz w:val="24"/>
          <w:szCs w:val="24"/>
          <w:lang w:eastAsia="pt-BR"/>
        </w:rPr>
        <w:t>038 (Segregação de outros créditos permitidos para compensar com o débito pela utilização do crédito presumido) do Quadro 09</w:t>
      </w:r>
      <w:r w:rsidRPr="000A20B8">
        <w:rPr>
          <w:rFonts w:ascii="Times New Roman" w:eastAsia="Times New Roman" w:hAnsi="Times New Roman"/>
          <w:sz w:val="24"/>
          <w:szCs w:val="24"/>
          <w:lang w:eastAsia="pt-BR"/>
        </w:rPr>
        <w:t xml:space="preserve"> deverá informar o </w:t>
      </w:r>
      <w:r w:rsidRPr="000A20B8">
        <w:rPr>
          <w:rFonts w:ascii="Times New Roman" w:eastAsia="Times New Roman" w:hAnsi="Times New Roman"/>
          <w:b/>
          <w:sz w:val="24"/>
          <w:szCs w:val="24"/>
          <w:lang w:eastAsia="pt-BR"/>
        </w:rPr>
        <w:t>VALOR DO CRÉDITO</w:t>
      </w:r>
      <w:r w:rsidRPr="000A20B8">
        <w:rPr>
          <w:rFonts w:ascii="Times New Roman" w:eastAsia="Times New Roman" w:hAnsi="Times New Roman"/>
          <w:sz w:val="24"/>
          <w:szCs w:val="24"/>
          <w:lang w:eastAsia="pt-BR"/>
        </w:rPr>
        <w:t xml:space="preserve"> resultante da diferença entre o do valor do ICMS destacado na Nota Fiscal da mercadoria recebida em devolução e o valor do estorno do crédito presumido que foi apropriado na saída da mesma mercadoria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>;</w:t>
      </w:r>
      <w:r w:rsidR="00854BC0">
        <w:rPr>
          <w:rFonts w:ascii="Times New Roman" w:eastAsia="Times New Roman" w:hAnsi="Times New Roman"/>
          <w:sz w:val="24"/>
          <w:szCs w:val="24"/>
          <w:lang w:eastAsia="pt-BR"/>
        </w:rPr>
        <w:t xml:space="preserve"> (Manual da DIME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 xml:space="preserve">- acrescido </w:t>
      </w:r>
      <w:r w:rsidR="00854BC0">
        <w:rPr>
          <w:rFonts w:ascii="Times New Roman" w:eastAsia="Times New Roman" w:hAnsi="Times New Roman"/>
          <w:sz w:val="24"/>
          <w:szCs w:val="24"/>
          <w:lang w:eastAsia="pt-BR"/>
        </w:rPr>
        <w:t xml:space="preserve">item 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>3.2.9.1, “g”)</w:t>
      </w:r>
    </w:p>
    <w:p w:rsidR="000A20B8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A20B8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valor informado no item 038 será somado ao item 040 do Quadro 09;</w:t>
      </w:r>
    </w:p>
    <w:p w:rsidR="000A20B8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A20B8" w:rsidRPr="00466810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1.2.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deverá</w:t>
      </w:r>
      <w:proofErr w:type="gramEnd"/>
      <w:r w:rsidR="008870B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transportar o valor do item 038 do Quadro 09 para o novo item </w:t>
      </w:r>
      <w:r w:rsidRPr="00466810">
        <w:rPr>
          <w:rFonts w:ascii="Times New Roman" w:eastAsia="Times New Roman" w:hAnsi="Times New Roman"/>
          <w:b/>
          <w:sz w:val="24"/>
          <w:szCs w:val="24"/>
          <w:lang w:eastAsia="pt-BR"/>
        </w:rPr>
        <w:t>031 (Créditos Permitidos para Compensar com o Débito pela Utilização do Crédito Presumido) do Quadro 14</w:t>
      </w:r>
      <w:r w:rsidRPr="00466810">
        <w:rPr>
          <w:rFonts w:ascii="Times New Roman" w:eastAsia="Times New Roman" w:hAnsi="Times New Roman"/>
          <w:sz w:val="24"/>
          <w:szCs w:val="24"/>
          <w:lang w:eastAsia="pt-BR"/>
        </w:rPr>
        <w:t>.</w:t>
      </w:r>
    </w:p>
    <w:p w:rsidR="000A20B8" w:rsidRDefault="000A20B8" w:rsidP="000A20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2 </w:t>
      </w:r>
      <w:r w:rsid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Crédito informado no DCIP de Outros Créditos </w:t>
      </w:r>
      <w:r w:rsidR="00923B2A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de 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Subtipo 54: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C24F27" w:rsidRDefault="00C24F27" w:rsidP="00C24F2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2.1 -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gramEnd"/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valor da DCIP de Outros Créditos de Subtipo 54 </w:t>
      </w:r>
      <w:r w:rsidR="005D5F30">
        <w:rPr>
          <w:rFonts w:ascii="Times New Roman" w:eastAsia="Times New Roman" w:hAnsi="Times New Roman"/>
          <w:sz w:val="24"/>
          <w:szCs w:val="24"/>
          <w:lang w:eastAsia="pt-BR"/>
        </w:rPr>
        <w:t xml:space="preserve">deve </w:t>
      </w:r>
      <w:r w:rsidR="005D5F30" w:rsidRPr="005D5F30">
        <w:rPr>
          <w:rFonts w:ascii="Times New Roman" w:eastAsia="Times New Roman" w:hAnsi="Times New Roman"/>
          <w:sz w:val="24"/>
          <w:szCs w:val="24"/>
          <w:lang w:eastAsia="pt-BR"/>
        </w:rPr>
        <w:t>ser</w:t>
      </w:r>
      <w:r w:rsidR="005D5F30" w:rsidRPr="00604321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604321" w:rsidRPr="00604321">
        <w:rPr>
          <w:rFonts w:ascii="Times New Roman" w:eastAsia="Times New Roman" w:hAnsi="Times New Roman"/>
          <w:b/>
          <w:sz w:val="24"/>
          <w:szCs w:val="24"/>
          <w:lang w:eastAsia="pt-BR"/>
        </w:rPr>
        <w:t>SOMADO</w:t>
      </w:r>
      <w:r w:rsidR="0060432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ao valor do crédito informado no novo item </w:t>
      </w:r>
      <w:r w:rsidRPr="000A20B8">
        <w:rPr>
          <w:rFonts w:ascii="Times New Roman" w:eastAsia="Times New Roman" w:hAnsi="Times New Roman"/>
          <w:b/>
          <w:sz w:val="24"/>
          <w:szCs w:val="24"/>
          <w:lang w:eastAsia="pt-BR"/>
        </w:rPr>
        <w:t>038 (Segregação de outros créditos permitidos para compensar com o débito pela utilização do crédito presumido) do Quadro 09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;</w:t>
      </w:r>
      <w:r w:rsidR="00A03B6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 xml:space="preserve">(Manual da DIME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 xml:space="preserve">- acrescido 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>item 3.2.9.1, “g”)</w:t>
      </w:r>
    </w:p>
    <w:p w:rsidR="00466810" w:rsidRDefault="00466810" w:rsidP="00A54C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03B29" w:rsidRPr="00003B29" w:rsidRDefault="00C24F27" w:rsidP="00003B2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2.2 – </w:t>
      </w:r>
      <w:r w:rsidR="00003B29" w:rsidRPr="00003B29">
        <w:rPr>
          <w:rFonts w:ascii="Times New Roman" w:eastAsia="Times New Roman" w:hAnsi="Times New Roman"/>
          <w:b/>
          <w:sz w:val="24"/>
          <w:szCs w:val="24"/>
          <w:lang w:eastAsia="pt-BR"/>
        </w:rPr>
        <w:t>ATENÇÃO:</w:t>
      </w:r>
      <w:r w:rsidR="00003B2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beneficiários do crédito presumido previsto no inciso IX do art. 21 do Anexo 2, não poderão incluir no item 038 do Quadro 09 os valores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 xml:space="preserve"> de ICMS referentes a devolução de insumos incluídos no DCIP subtipo 54. Foi acrescentado no DCIP de Outros Créditos o novo </w:t>
      </w:r>
      <w:r w:rsidR="00876341" w:rsidRPr="00003B29">
        <w:rPr>
          <w:rFonts w:ascii="Times New Roman" w:eastAsia="Times New Roman" w:hAnsi="Times New Roman"/>
          <w:sz w:val="24"/>
          <w:szCs w:val="24"/>
          <w:lang w:eastAsia="pt-BR"/>
        </w:rPr>
        <w:t xml:space="preserve">subtipo </w:t>
      </w:r>
      <w:r w:rsidR="00003B29" w:rsidRPr="00003B29">
        <w:rPr>
          <w:rFonts w:ascii="Times New Roman" w:eastAsia="Times New Roman" w:hAnsi="Times New Roman"/>
          <w:sz w:val="24"/>
          <w:szCs w:val="24"/>
          <w:lang w:eastAsia="pt-BR"/>
        </w:rPr>
        <w:t>“70</w:t>
      </w:r>
      <w:r w:rsidR="00876341" w:rsidRPr="00003B2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C6173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876341" w:rsidRPr="00003B29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003B29" w:rsidRPr="00003B29">
        <w:rPr>
          <w:rFonts w:ascii="Times New Roman" w:eastAsia="Times New Roman" w:hAnsi="Times New Roman"/>
          <w:sz w:val="24"/>
          <w:szCs w:val="24"/>
          <w:lang w:eastAsia="pt-BR"/>
        </w:rPr>
        <w:t>Crédito proporcional à mercadoria devolvida, quando o crédito pela entrada foi estornado conforme disposto no An. 2, art. 23, III”</w:t>
      </w:r>
    </w:p>
    <w:p w:rsidR="00466810" w:rsidRDefault="00466810" w:rsidP="00A54CB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12F5C" w:rsidRPr="00392D7B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3 </w:t>
      </w:r>
      <w:r w:rsidR="00EA0B6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-</w:t>
      </w:r>
      <w:r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Saldo Credor decorrente de mercadoria em estoque </w:t>
      </w:r>
      <w:r w:rsidR="00EA0B6B" w:rsidRPr="00392D7B">
        <w:rPr>
          <w:rFonts w:ascii="Times New Roman" w:eastAsia="Times New Roman" w:hAnsi="Times New Roman"/>
          <w:b/>
          <w:sz w:val="24"/>
          <w:szCs w:val="24"/>
          <w:lang w:eastAsia="pt-BR"/>
        </w:rPr>
        <w:t>relativa aos pagamentos antecipados do ICMS (Código de Receita 1759) incidente na saída subsequente à importação, quando esta operação for beneficiada por crédito presumido em substituição aos créditos pelas entradas:</w:t>
      </w:r>
    </w:p>
    <w:p w:rsidR="00EA0B6B" w:rsidRDefault="00EA0B6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54CBF" w:rsidRP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3.1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- </w:t>
      </w:r>
      <w:r w:rsidR="001704FC">
        <w:rPr>
          <w:rFonts w:ascii="Times New Roman" w:eastAsia="Times New Roman" w:hAnsi="Times New Roman"/>
          <w:sz w:val="24"/>
          <w:szCs w:val="24"/>
          <w:lang w:eastAsia="pt-BR"/>
        </w:rPr>
        <w:t xml:space="preserve">para a referência 04/2017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o Validador da DIME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não 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>permite que seja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informado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s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valores no item 110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(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>Saldo Credor das Antecipações para o Mês Seguinte)</w:t>
      </w:r>
      <w:r w:rsidR="00A54CBF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14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relativa ao mês de março de 2017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;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1704FC" w:rsidRP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3.2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deve ser considerado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como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SALDO CREDOR DAS ANTECIPAÇÕES DO MÊS DE MARÇO DE 2017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, o valor do ICMS referente ao estoque das mercadorias importadas com pagamento antecipado (1759), desde que exista Saldo Credor para o Mês Seguinte no item 998 do Quadro 09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n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a referência 03/2017.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23B2A" w:rsidRP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3.3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na hipótese do item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3.2,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caso o informante seja estabelecimento consolidador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,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 xml:space="preserve">para aferir a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existência de Saldo Credor para o Mês Seguinte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 xml:space="preserve"> do próprio estabelecimento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, deve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>rá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de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duzi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r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os valores informados no item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020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(</w:t>
      </w:r>
      <w:r w:rsidRPr="001A4021">
        <w:rPr>
          <w:rFonts w:ascii="Times New Roman" w:eastAsia="Times New Roman" w:hAnsi="Times New Roman"/>
          <w:sz w:val="24"/>
          <w:szCs w:val="24"/>
          <w:lang w:eastAsia="pt-BR"/>
        </w:rPr>
        <w:t>Saldos devedores recebidos de estabelecimentos consolidados)</w:t>
      </w:r>
      <w:r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>e no item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060 (</w:t>
      </w:r>
      <w:r w:rsidRPr="001A4021">
        <w:rPr>
          <w:rFonts w:ascii="Times New Roman" w:eastAsia="Times New Roman" w:hAnsi="Times New Roman"/>
          <w:sz w:val="24"/>
          <w:szCs w:val="24"/>
          <w:lang w:eastAsia="pt-BR"/>
        </w:rPr>
        <w:t>Saldos credores recebidos de estabelecimentos consolidados)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Quadro 09</w:t>
      </w:r>
      <w:r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 xml:space="preserve">  Importante salientar que o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débito </w:t>
      </w:r>
      <w:r w:rsidR="00876341">
        <w:rPr>
          <w:rFonts w:ascii="Times New Roman" w:eastAsia="Times New Roman" w:hAnsi="Times New Roman"/>
          <w:sz w:val="24"/>
          <w:szCs w:val="24"/>
          <w:lang w:eastAsia="pt-BR"/>
        </w:rPr>
        <w:t xml:space="preserve">pela utilização de crédito presumido 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>deve ser apurado separadamente para cada estabelecimento.</w:t>
      </w:r>
    </w:p>
    <w:p w:rsidR="001704FC" w:rsidRPr="00392D7B" w:rsidRDefault="001704F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604321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3.4 </w:t>
      </w:r>
      <w:r w:rsidR="00604321">
        <w:rPr>
          <w:rFonts w:ascii="Times New Roman" w:eastAsia="Times New Roman" w:hAnsi="Times New Roman"/>
          <w:sz w:val="24"/>
          <w:szCs w:val="24"/>
          <w:lang w:eastAsia="pt-BR"/>
        </w:rPr>
        <w:t>-</w:t>
      </w:r>
      <w:r w:rsidR="001704FC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o valor do </w:t>
      </w:r>
      <w:r w:rsidR="001704FC"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SALDO CREDOR DAS ANTECIPAÇÕES DO MÊS DE MARÇO DE 2017</w:t>
      </w:r>
      <w:r w:rsidR="00392D7B" w:rsidRP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5F30">
        <w:rPr>
          <w:rFonts w:ascii="Times New Roman" w:eastAsia="Times New Roman" w:hAnsi="Times New Roman"/>
          <w:sz w:val="24"/>
          <w:szCs w:val="24"/>
          <w:lang w:eastAsia="pt-BR"/>
        </w:rPr>
        <w:t>deve ser</w:t>
      </w:r>
      <w:r w:rsidR="0060432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604321" w:rsidRPr="005D5F30">
        <w:rPr>
          <w:rFonts w:ascii="Times New Roman" w:eastAsia="Times New Roman" w:hAnsi="Times New Roman"/>
          <w:b/>
          <w:sz w:val="24"/>
          <w:szCs w:val="24"/>
          <w:lang w:eastAsia="pt-BR"/>
        </w:rPr>
        <w:t>SOMADO</w:t>
      </w:r>
      <w:r w:rsidR="00604321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5D5F30">
        <w:rPr>
          <w:rFonts w:ascii="Times New Roman" w:eastAsia="Times New Roman" w:hAnsi="Times New Roman"/>
          <w:sz w:val="24"/>
          <w:szCs w:val="24"/>
          <w:lang w:eastAsia="pt-BR"/>
        </w:rPr>
        <w:t xml:space="preserve">ao valor do crédito informado no novo item </w:t>
      </w:r>
      <w:r w:rsidR="005D5F30" w:rsidRPr="000A20B8">
        <w:rPr>
          <w:rFonts w:ascii="Times New Roman" w:eastAsia="Times New Roman" w:hAnsi="Times New Roman"/>
          <w:b/>
          <w:sz w:val="24"/>
          <w:szCs w:val="24"/>
          <w:lang w:eastAsia="pt-BR"/>
        </w:rPr>
        <w:t>038 (Segregação de outros créditos permitidos para compensar com o débito pela utilização do crédito presumido) do Quadro 09</w:t>
      </w:r>
      <w:r w:rsidR="005D5F30">
        <w:rPr>
          <w:rFonts w:ascii="Times New Roman" w:eastAsia="Times New Roman" w:hAnsi="Times New Roman"/>
          <w:b/>
          <w:sz w:val="24"/>
          <w:szCs w:val="24"/>
          <w:lang w:eastAsia="pt-BR"/>
        </w:rPr>
        <w:t>.</w:t>
      </w:r>
      <w:r w:rsidR="00F92634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>(Manual da DIME - acrescido item 3.2.9.1, “g”)</w:t>
      </w:r>
    </w:p>
    <w:p w:rsidR="00604321" w:rsidRDefault="006043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EA0B6B" w:rsidRPr="001A4021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4 – Estorno de Débito informado em DCIP de subtipo 12: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392D7B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4.1 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>- o informante que foi autorizado a utilizar o Estorno de Débito da DCIP de subtipo 12 deve informar o valor estorno no item 036 do Quadro 09.</w:t>
      </w:r>
    </w:p>
    <w:p w:rsidR="00392D7B" w:rsidRDefault="00392D7B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7618" w:rsidRPr="001A4021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1A4021">
        <w:rPr>
          <w:rFonts w:ascii="Times New Roman" w:eastAsia="Times New Roman" w:hAnsi="Times New Roman"/>
          <w:b/>
          <w:sz w:val="24"/>
          <w:szCs w:val="24"/>
          <w:lang w:eastAsia="pt-BR"/>
        </w:rPr>
        <w:t>5 – Cumulatividade do crédito presumido e regime especial de PRODEC autorizado na legislação tributária:</w:t>
      </w:r>
    </w:p>
    <w:p w:rsidR="008B7618" w:rsidRDefault="008B7618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8B7618" w:rsidRDefault="001A4021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5.1 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- as orientações </w:t>
      </w:r>
      <w:r w:rsidR="00AF58E1">
        <w:rPr>
          <w:rFonts w:ascii="Times New Roman" w:eastAsia="Times New Roman" w:hAnsi="Times New Roman"/>
          <w:sz w:val="24"/>
          <w:szCs w:val="24"/>
          <w:lang w:eastAsia="pt-BR"/>
        </w:rPr>
        <w:t>específicas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já consta</w:t>
      </w:r>
      <w:r w:rsidR="00AF58E1">
        <w:rPr>
          <w:rFonts w:ascii="Times New Roman" w:eastAsia="Times New Roman" w:hAnsi="Times New Roman"/>
          <w:sz w:val="24"/>
          <w:szCs w:val="24"/>
          <w:lang w:eastAsia="pt-BR"/>
        </w:rPr>
        <w:t>m</w:t>
      </w:r>
      <w:r w:rsidR="00392D7B">
        <w:rPr>
          <w:rFonts w:ascii="Times New Roman" w:eastAsia="Times New Roman" w:hAnsi="Times New Roman"/>
          <w:sz w:val="24"/>
          <w:szCs w:val="24"/>
          <w:lang w:eastAsia="pt-BR"/>
        </w:rPr>
        <w:t xml:space="preserve"> do Comunicado DIAT/SAT 03 de</w:t>
      </w:r>
      <w:r w:rsidR="00923B2A">
        <w:rPr>
          <w:rFonts w:ascii="Times New Roman" w:eastAsia="Times New Roman" w:hAnsi="Times New Roman"/>
          <w:sz w:val="24"/>
          <w:szCs w:val="24"/>
          <w:lang w:eastAsia="pt-BR"/>
        </w:rPr>
        <w:t xml:space="preserve"> 09/05/2017, publicado no Aviso SAT da página da SEF.</w:t>
      </w:r>
    </w:p>
    <w:p w:rsidR="00812F5C" w:rsidRDefault="00812F5C" w:rsidP="0022534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10DBE" w:rsidRDefault="00A10DBE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956425" w:rsidRPr="00C66587" w:rsidRDefault="00A10DBE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C66587">
        <w:rPr>
          <w:rFonts w:ascii="Times New Roman" w:eastAsia="Times New Roman" w:hAnsi="Times New Roman"/>
          <w:b/>
          <w:sz w:val="24"/>
          <w:szCs w:val="24"/>
          <w:lang w:eastAsia="pt-BR"/>
        </w:rPr>
        <w:t>6 –</w:t>
      </w:r>
      <w:r w:rsidR="003D79F4" w:rsidRPr="00C66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</w:t>
      </w:r>
      <w:r w:rsidR="00956425" w:rsidRPr="00C66587">
        <w:rPr>
          <w:rFonts w:ascii="Times New Roman" w:eastAsia="Times New Roman" w:hAnsi="Times New Roman"/>
          <w:b/>
          <w:sz w:val="24"/>
          <w:szCs w:val="24"/>
          <w:lang w:eastAsia="pt-BR"/>
        </w:rPr>
        <w:t>Lançamento da parcela da diferença de alíquota, quando previsto a utilização de crédito presumido, nas saídas interestaduais à consumidor final localizado em outra unidade da federação, devida ao Estado, de mercadoria importada</w:t>
      </w:r>
      <w:r w:rsidR="00956425" w:rsidRPr="00C66587">
        <w:rPr>
          <w:rFonts w:ascii="Arial" w:hAnsi="Arial" w:cs="Arial"/>
        </w:rPr>
        <w:t xml:space="preserve"> </w:t>
      </w:r>
      <w:r w:rsidR="00956425" w:rsidRPr="00C66587">
        <w:rPr>
          <w:rFonts w:ascii="Times New Roman" w:eastAsia="Times New Roman" w:hAnsi="Times New Roman"/>
          <w:b/>
          <w:sz w:val="24"/>
          <w:szCs w:val="24"/>
          <w:lang w:eastAsia="pt-BR"/>
        </w:rPr>
        <w:t>ao abrigo de TTD de importação:</w:t>
      </w:r>
    </w:p>
    <w:p w:rsidR="00956425" w:rsidRDefault="00956425" w:rsidP="00A10DBE">
      <w:pPr>
        <w:spacing w:after="0" w:line="24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t-BR"/>
        </w:rPr>
      </w:pPr>
    </w:p>
    <w:p w:rsidR="007A5ECF" w:rsidRDefault="005D5F30" w:rsidP="007A5ECF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6.1 - o valor do débito 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diferença de alíquota devida ao estado </w:t>
      </w:r>
      <w:r w:rsidRP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informado no item 010 do Quadro 13 deve ser </w:t>
      </w:r>
      <w:r w:rsidRPr="007A5ECF">
        <w:rPr>
          <w:rFonts w:ascii="Times New Roman" w:eastAsia="Times New Roman" w:hAnsi="Times New Roman"/>
          <w:b/>
          <w:sz w:val="24"/>
          <w:szCs w:val="24"/>
          <w:lang w:eastAsia="pt-BR"/>
        </w:rPr>
        <w:t>ADICIONADO</w:t>
      </w:r>
      <w:r w:rsidRP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 ao valor </w:t>
      </w:r>
      <w:r w:rsidR="007A5ECF" w:rsidRP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preenchido </w:t>
      </w:r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no </w:t>
      </w:r>
      <w:r w:rsidR="007A5ECF" w:rsidRPr="00854BC0">
        <w:rPr>
          <w:rFonts w:ascii="Times New Roman" w:eastAsia="Times New Roman" w:hAnsi="Times New Roman"/>
          <w:b/>
          <w:sz w:val="24"/>
          <w:szCs w:val="24"/>
          <w:lang w:eastAsia="pt-BR"/>
        </w:rPr>
        <w:t>item 076 (Segregação dos débitos relativos às saídas com crédito presumido em substituição aos créditos das entradas) do Quadro 09</w:t>
      </w:r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>.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 xml:space="preserve"> (Manual da DIME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 xml:space="preserve">- acrescido </w:t>
      </w:r>
      <w:r w:rsidR="00A03B67" w:rsidRPr="00A03B67">
        <w:rPr>
          <w:rFonts w:ascii="Times New Roman" w:eastAsia="Times New Roman" w:hAnsi="Times New Roman"/>
          <w:sz w:val="24"/>
          <w:szCs w:val="24"/>
          <w:lang w:eastAsia="pt-BR"/>
        </w:rPr>
        <w:t>item 3.2.9.2, “g.1”)</w:t>
      </w:r>
    </w:p>
    <w:p w:rsidR="005D5F30" w:rsidRPr="007A5ECF" w:rsidRDefault="005D5F30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5D5F30" w:rsidRDefault="007A5ECF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>7 – Lançamento no estabelecimento industrial do valor da operação e do imposto nas saídas de mercadorias</w:t>
      </w:r>
      <w:r w:rsidR="000913A2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de produção próprio</w:t>
      </w:r>
      <w:r w:rsidR="00CC6173">
        <w:rPr>
          <w:rFonts w:ascii="Times New Roman" w:eastAsia="Times New Roman" w:hAnsi="Times New Roman"/>
          <w:b/>
          <w:sz w:val="24"/>
          <w:szCs w:val="24"/>
          <w:lang w:eastAsia="pt-BR"/>
        </w:rPr>
        <w:t>,</w:t>
      </w: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pelo estabelecimento comercial do mesmo titular situado neste Estado</w:t>
      </w:r>
      <w:r w:rsidR="00854BC0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, </w:t>
      </w:r>
      <w:r w:rsidR="00854BC0" w:rsidRPr="00854BC0">
        <w:rPr>
          <w:rFonts w:ascii="Times New Roman" w:eastAsia="Times New Roman" w:hAnsi="Times New Roman"/>
          <w:b/>
          <w:sz w:val="24"/>
          <w:szCs w:val="24"/>
          <w:lang w:eastAsia="pt-BR"/>
        </w:rPr>
        <w:t>beneficiários do crédito presumido previsto no inciso IX do art. 21 do Anexo 2</w:t>
      </w:r>
      <w:r w:rsidR="00854BC0">
        <w:rPr>
          <w:rFonts w:ascii="Times New Roman" w:eastAsia="Times New Roman" w:hAnsi="Times New Roman"/>
          <w:b/>
          <w:sz w:val="24"/>
          <w:szCs w:val="24"/>
          <w:lang w:eastAsia="pt-BR"/>
        </w:rPr>
        <w:t>, e de conformidade com o inciso VI do § 10.</w:t>
      </w:r>
    </w:p>
    <w:p w:rsidR="00446D17" w:rsidRDefault="00446D17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A70D14" w:rsidRPr="00BF4F1B" w:rsidRDefault="00446D17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>
        <w:rPr>
          <w:rFonts w:ascii="Times New Roman" w:eastAsia="Times New Roman" w:hAnsi="Times New Roman"/>
          <w:sz w:val="24"/>
          <w:szCs w:val="24"/>
          <w:lang w:eastAsia="pt-BR"/>
        </w:rPr>
        <w:t>7</w:t>
      </w:r>
      <w:r w:rsidR="000913A2">
        <w:rPr>
          <w:rFonts w:ascii="Times New Roman" w:eastAsia="Times New Roman" w:hAnsi="Times New Roman"/>
          <w:sz w:val="24"/>
          <w:szCs w:val="24"/>
          <w:lang w:eastAsia="pt-BR"/>
        </w:rPr>
        <w:t>.1</w:t>
      </w:r>
      <w:r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– </w:t>
      </w:r>
      <w:proofErr w:type="gramStart"/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>o</w:t>
      </w:r>
      <w:proofErr w:type="gramEnd"/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 valor da operação </w:t>
      </w:r>
      <w:r w:rsidR="00BF4F1B">
        <w:rPr>
          <w:rFonts w:ascii="Times New Roman" w:eastAsia="Times New Roman" w:hAnsi="Times New Roman"/>
          <w:sz w:val="24"/>
          <w:szCs w:val="24"/>
          <w:lang w:eastAsia="pt-BR"/>
        </w:rPr>
        <w:t>d</w:t>
      </w:r>
      <w:r w:rsidR="007A5ECF">
        <w:rPr>
          <w:rFonts w:ascii="Times New Roman" w:eastAsia="Times New Roman" w:hAnsi="Times New Roman"/>
          <w:sz w:val="24"/>
          <w:szCs w:val="24"/>
          <w:lang w:eastAsia="pt-BR"/>
        </w:rPr>
        <w:t xml:space="preserve">as saídas </w:t>
      </w:r>
      <w:r w:rsidR="000913A2">
        <w:rPr>
          <w:rFonts w:ascii="Times New Roman" w:eastAsia="Times New Roman" w:hAnsi="Times New Roman"/>
          <w:sz w:val="24"/>
          <w:szCs w:val="24"/>
          <w:lang w:eastAsia="pt-BR"/>
        </w:rPr>
        <w:t xml:space="preserve">de mercadorias </w:t>
      </w:r>
      <w:r w:rsid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beneficiadas com crédito presumido em substituição aos créditos pela entrada, </w:t>
      </w:r>
      <w:r w:rsidR="000913A2"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promovidas pelo estabelecimento comercial deve ser </w:t>
      </w:r>
      <w:r w:rsidR="000913A2" w:rsidRPr="00BF4F1B">
        <w:rPr>
          <w:rFonts w:ascii="Times New Roman" w:eastAsia="Times New Roman" w:hAnsi="Times New Roman"/>
          <w:b/>
          <w:sz w:val="24"/>
          <w:szCs w:val="24"/>
          <w:lang w:eastAsia="pt-BR"/>
        </w:rPr>
        <w:t>ADICIONADO</w:t>
      </w:r>
      <w:r w:rsidR="000913A2"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 ao valor preenchido no item 010 do Quadro 14 pelo estabelecimento industrial;</w:t>
      </w:r>
      <w:r w:rsidR="00A03B67"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 xml:space="preserve">(Manual da DIME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 xml:space="preserve">- acrescido </w:t>
      </w:r>
      <w:r w:rsidR="00A03B67" w:rsidRPr="00A03B67">
        <w:rPr>
          <w:rFonts w:ascii="Times New Roman" w:eastAsia="Times New Roman" w:hAnsi="Times New Roman"/>
          <w:sz w:val="24"/>
          <w:szCs w:val="24"/>
          <w:lang w:eastAsia="pt-BR"/>
        </w:rPr>
        <w:t>item</w:t>
      </w:r>
      <w:r w:rsidR="00C66587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C66587" w:rsidRPr="00A03B67">
        <w:rPr>
          <w:rFonts w:ascii="Times New Roman" w:eastAsia="Times New Roman" w:hAnsi="Times New Roman"/>
          <w:sz w:val="24"/>
          <w:szCs w:val="24"/>
          <w:lang w:eastAsia="pt-BR"/>
        </w:rPr>
        <w:t>3.2.25.1, “</w:t>
      </w:r>
      <w:r w:rsidR="00C66587">
        <w:rPr>
          <w:rFonts w:ascii="Times New Roman" w:eastAsia="Times New Roman" w:hAnsi="Times New Roman"/>
          <w:sz w:val="24"/>
          <w:szCs w:val="24"/>
          <w:lang w:eastAsia="pt-BR"/>
        </w:rPr>
        <w:t>a</w:t>
      </w:r>
      <w:r w:rsidR="00C66587" w:rsidRPr="00A03B67">
        <w:rPr>
          <w:rFonts w:ascii="Times New Roman" w:eastAsia="Times New Roman" w:hAnsi="Times New Roman"/>
          <w:sz w:val="24"/>
          <w:szCs w:val="24"/>
          <w:lang w:eastAsia="pt-BR"/>
        </w:rPr>
        <w:t>”</w:t>
      </w:r>
      <w:r w:rsidR="00A03B67" w:rsidRPr="00A03B67">
        <w:rPr>
          <w:rFonts w:ascii="Times New Roman" w:eastAsia="Times New Roman" w:hAnsi="Times New Roman"/>
          <w:sz w:val="24"/>
          <w:szCs w:val="24"/>
          <w:lang w:eastAsia="pt-BR"/>
        </w:rPr>
        <w:t>)</w:t>
      </w:r>
    </w:p>
    <w:p w:rsidR="000913A2" w:rsidRPr="00BF4F1B" w:rsidRDefault="000913A2" w:rsidP="00A10D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</w:p>
    <w:p w:rsidR="000913A2" w:rsidRPr="00BF4F1B" w:rsidRDefault="000913A2" w:rsidP="000913A2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t-BR"/>
        </w:rPr>
      </w:pPr>
      <w:r w:rsidRPr="00BF4F1B">
        <w:rPr>
          <w:rFonts w:ascii="Times New Roman" w:eastAsia="Times New Roman" w:hAnsi="Times New Roman"/>
          <w:sz w:val="24"/>
          <w:szCs w:val="24"/>
          <w:lang w:eastAsia="pt-BR"/>
        </w:rPr>
        <w:lastRenderedPageBreak/>
        <w:t xml:space="preserve">7.2 – o valor do imposto incidente nas saídas de mercadorias </w:t>
      </w:r>
      <w:r w:rsid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beneficiadas com crédito presumido em substituição aos créditos pela entrada, </w:t>
      </w:r>
      <w:r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promovidas pelo estabelecimento comercial deve ser </w:t>
      </w:r>
      <w:r w:rsidRPr="00BF4F1B">
        <w:rPr>
          <w:rFonts w:ascii="Times New Roman" w:eastAsia="Times New Roman" w:hAnsi="Times New Roman"/>
          <w:b/>
          <w:sz w:val="24"/>
          <w:szCs w:val="24"/>
          <w:lang w:eastAsia="pt-BR"/>
        </w:rPr>
        <w:t>ADICIONADO</w:t>
      </w:r>
      <w:r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 ao valor preenchido no item 076 do Quadro 09 </w:t>
      </w:r>
      <w:r w:rsidR="00854BC0" w:rsidRPr="00BF4F1B">
        <w:rPr>
          <w:rFonts w:ascii="Times New Roman" w:eastAsia="Times New Roman" w:hAnsi="Times New Roman"/>
          <w:sz w:val="24"/>
          <w:szCs w:val="24"/>
          <w:lang w:eastAsia="pt-BR"/>
        </w:rPr>
        <w:t>pelo estabelecimento industrial.</w:t>
      </w:r>
      <w:r w:rsidR="00A03B67" w:rsidRPr="00BF4F1B">
        <w:rPr>
          <w:rFonts w:ascii="Times New Roman" w:eastAsia="Times New Roman" w:hAnsi="Times New Roman"/>
          <w:sz w:val="24"/>
          <w:szCs w:val="24"/>
          <w:lang w:eastAsia="pt-BR"/>
        </w:rPr>
        <w:t xml:space="preserve"> </w:t>
      </w:r>
      <w:r w:rsidR="00A03B67">
        <w:rPr>
          <w:rFonts w:ascii="Times New Roman" w:eastAsia="Times New Roman" w:hAnsi="Times New Roman"/>
          <w:sz w:val="24"/>
          <w:szCs w:val="24"/>
          <w:lang w:eastAsia="pt-BR"/>
        </w:rPr>
        <w:t xml:space="preserve">(Manual da DIME </w:t>
      </w:r>
      <w:r w:rsidR="00F92634">
        <w:rPr>
          <w:rFonts w:ascii="Times New Roman" w:eastAsia="Times New Roman" w:hAnsi="Times New Roman"/>
          <w:sz w:val="24"/>
          <w:szCs w:val="24"/>
          <w:lang w:eastAsia="pt-BR"/>
        </w:rPr>
        <w:t xml:space="preserve">-  nova redação </w:t>
      </w:r>
      <w:r w:rsidR="00A03B67" w:rsidRPr="00A03B67">
        <w:rPr>
          <w:rFonts w:ascii="Times New Roman" w:eastAsia="Times New Roman" w:hAnsi="Times New Roman"/>
          <w:sz w:val="24"/>
          <w:szCs w:val="24"/>
          <w:lang w:eastAsia="pt-BR"/>
        </w:rPr>
        <w:t>item</w:t>
      </w:r>
      <w:r w:rsidR="00C66587">
        <w:rPr>
          <w:rFonts w:ascii="Times New Roman" w:eastAsia="Times New Roman" w:hAnsi="Times New Roman"/>
          <w:sz w:val="24"/>
          <w:szCs w:val="24"/>
          <w:lang w:eastAsia="pt-BR"/>
        </w:rPr>
        <w:t xml:space="preserve"> 3</w:t>
      </w:r>
      <w:r w:rsidR="00C66587" w:rsidRPr="00A03B67">
        <w:rPr>
          <w:rFonts w:ascii="Times New Roman" w:eastAsia="Times New Roman" w:hAnsi="Times New Roman"/>
          <w:sz w:val="24"/>
          <w:szCs w:val="24"/>
          <w:lang w:eastAsia="pt-BR"/>
        </w:rPr>
        <w:t>.2.9.2, “g.1”</w:t>
      </w:r>
      <w:r w:rsidR="00A03B67" w:rsidRPr="00A03B67">
        <w:rPr>
          <w:rFonts w:ascii="Times New Roman" w:eastAsia="Times New Roman" w:hAnsi="Times New Roman"/>
          <w:sz w:val="24"/>
          <w:szCs w:val="24"/>
          <w:lang w:eastAsia="pt-BR"/>
        </w:rPr>
        <w:t>)</w:t>
      </w:r>
    </w:p>
    <w:p w:rsidR="000913A2" w:rsidRDefault="000913A2" w:rsidP="00A10DBE">
      <w:pPr>
        <w:spacing w:after="0" w:line="240" w:lineRule="auto"/>
        <w:jc w:val="both"/>
        <w:rPr>
          <w:rFonts w:ascii="Arial" w:hAnsi="Arial" w:cs="Arial"/>
          <w:color w:val="FF0000"/>
        </w:rPr>
      </w:pPr>
    </w:p>
    <w:p w:rsidR="007A5ECF" w:rsidRDefault="000913A2" w:rsidP="00854BC0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Arial" w:hAnsi="Arial" w:cs="Arial"/>
          <w:color w:val="FF0000"/>
        </w:rPr>
        <w:t xml:space="preserve"> </w:t>
      </w:r>
    </w:p>
    <w:p w:rsidR="00BB2E55" w:rsidRDefault="002D34ED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 w:rsidRPr="00BB2E55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ATENÇÃO: </w:t>
      </w:r>
    </w:p>
    <w:p w:rsidR="00BB2E55" w:rsidRDefault="00BB2E55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</w:p>
    <w:p w:rsidR="00C66587" w:rsidRDefault="00BB2E55" w:rsidP="00A10D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pt-BR"/>
        </w:rPr>
      </w:pPr>
      <w:r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- </w:t>
      </w:r>
      <w:r w:rsidR="00C66587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OS MONTANTES DOS VALORES INFORMADOS CONFORME DESCRITOS NOS TÓPICOS 1, 2 E 3 </w:t>
      </w:r>
      <w:r w:rsidR="00CF24DF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QUE SE SOMARÃO AO DO </w:t>
      </w:r>
      <w:r w:rsidR="00C66587">
        <w:rPr>
          <w:rFonts w:ascii="Times New Roman" w:eastAsia="Times New Roman" w:hAnsi="Times New Roman"/>
          <w:b/>
          <w:sz w:val="24"/>
          <w:szCs w:val="24"/>
          <w:lang w:eastAsia="pt-BR"/>
        </w:rPr>
        <w:t>ITEM 036 DO QUADRO 09, NÃO PODE</w:t>
      </w:r>
      <w:r w:rsidR="005F449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RÃO EXCEDER </w:t>
      </w:r>
      <w:r w:rsidR="00C66587">
        <w:rPr>
          <w:rFonts w:ascii="Times New Roman" w:eastAsia="Times New Roman" w:hAnsi="Times New Roman"/>
          <w:b/>
          <w:sz w:val="24"/>
          <w:szCs w:val="24"/>
          <w:lang w:eastAsia="pt-BR"/>
        </w:rPr>
        <w:t>O VALOR INFORMADO NO ITEM 076 DO QUADRO 09.</w:t>
      </w:r>
      <w:r w:rsidR="005F449D">
        <w:rPr>
          <w:rFonts w:ascii="Times New Roman" w:eastAsia="Times New Roman" w:hAnsi="Times New Roman"/>
          <w:b/>
          <w:sz w:val="24"/>
          <w:szCs w:val="24"/>
          <w:lang w:eastAsia="pt-BR"/>
        </w:rPr>
        <w:t xml:space="preserve"> EVENTUAIS SOBRAS SERÃO INFORMADAS NO PERÍODO DE REFERÊNCIA SEGUINTE.</w:t>
      </w:r>
    </w:p>
    <w:sectPr w:rsidR="00C66587" w:rsidSect="00802528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10B9F"/>
    <w:multiLevelType w:val="multilevel"/>
    <w:tmpl w:val="007AA57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34C"/>
    <w:rsid w:val="00003B29"/>
    <w:rsid w:val="00007243"/>
    <w:rsid w:val="000227A7"/>
    <w:rsid w:val="00066DC9"/>
    <w:rsid w:val="000913A2"/>
    <w:rsid w:val="000A20B8"/>
    <w:rsid w:val="000F615B"/>
    <w:rsid w:val="001704FC"/>
    <w:rsid w:val="001A240C"/>
    <w:rsid w:val="001A3E0E"/>
    <w:rsid w:val="001A4021"/>
    <w:rsid w:val="0022534C"/>
    <w:rsid w:val="00225754"/>
    <w:rsid w:val="002350C7"/>
    <w:rsid w:val="00241F3C"/>
    <w:rsid w:val="0025178D"/>
    <w:rsid w:val="00255EE7"/>
    <w:rsid w:val="002607AE"/>
    <w:rsid w:val="002D34ED"/>
    <w:rsid w:val="0036426D"/>
    <w:rsid w:val="003900C9"/>
    <w:rsid w:val="00392D7B"/>
    <w:rsid w:val="003D082A"/>
    <w:rsid w:val="003D79F4"/>
    <w:rsid w:val="004417DB"/>
    <w:rsid w:val="00446D17"/>
    <w:rsid w:val="00462EDD"/>
    <w:rsid w:val="00466810"/>
    <w:rsid w:val="0046724C"/>
    <w:rsid w:val="0047693E"/>
    <w:rsid w:val="005259FC"/>
    <w:rsid w:val="00532678"/>
    <w:rsid w:val="0058131C"/>
    <w:rsid w:val="005B08A9"/>
    <w:rsid w:val="005D5F30"/>
    <w:rsid w:val="005F0CC6"/>
    <w:rsid w:val="005F449D"/>
    <w:rsid w:val="00604321"/>
    <w:rsid w:val="00626282"/>
    <w:rsid w:val="00670636"/>
    <w:rsid w:val="00702C84"/>
    <w:rsid w:val="0070312C"/>
    <w:rsid w:val="00727F10"/>
    <w:rsid w:val="00793859"/>
    <w:rsid w:val="007A5ECF"/>
    <w:rsid w:val="007B01B3"/>
    <w:rsid w:val="00802528"/>
    <w:rsid w:val="00812F5C"/>
    <w:rsid w:val="00841710"/>
    <w:rsid w:val="00854BC0"/>
    <w:rsid w:val="00876341"/>
    <w:rsid w:val="008870B9"/>
    <w:rsid w:val="008B7618"/>
    <w:rsid w:val="0091279F"/>
    <w:rsid w:val="00923B2A"/>
    <w:rsid w:val="00941203"/>
    <w:rsid w:val="00956425"/>
    <w:rsid w:val="0098373F"/>
    <w:rsid w:val="00A03B67"/>
    <w:rsid w:val="00A10DBE"/>
    <w:rsid w:val="00A54CBF"/>
    <w:rsid w:val="00A64DA8"/>
    <w:rsid w:val="00A70D14"/>
    <w:rsid w:val="00AD04A5"/>
    <w:rsid w:val="00AE1015"/>
    <w:rsid w:val="00AF58E1"/>
    <w:rsid w:val="00B3410F"/>
    <w:rsid w:val="00B802CC"/>
    <w:rsid w:val="00B955CA"/>
    <w:rsid w:val="00BB2E55"/>
    <w:rsid w:val="00BF4F1B"/>
    <w:rsid w:val="00C24F27"/>
    <w:rsid w:val="00C40DDA"/>
    <w:rsid w:val="00C66587"/>
    <w:rsid w:val="00CC6173"/>
    <w:rsid w:val="00CE3A1A"/>
    <w:rsid w:val="00CF24DF"/>
    <w:rsid w:val="00CF3760"/>
    <w:rsid w:val="00D51059"/>
    <w:rsid w:val="00D7032E"/>
    <w:rsid w:val="00D9261C"/>
    <w:rsid w:val="00DE5E4E"/>
    <w:rsid w:val="00E36A2A"/>
    <w:rsid w:val="00E36BD0"/>
    <w:rsid w:val="00EA0B6B"/>
    <w:rsid w:val="00F34FA4"/>
    <w:rsid w:val="00F462A3"/>
    <w:rsid w:val="00F51340"/>
    <w:rsid w:val="00F53B6D"/>
    <w:rsid w:val="00F73002"/>
    <w:rsid w:val="00F92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8DC82-48B9-4209-ACFD-BC0A91D4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2534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B2E55"/>
    <w:rPr>
      <w:b/>
      <w:bCs/>
    </w:rPr>
  </w:style>
  <w:style w:type="paragraph" w:styleId="PargrafodaLista">
    <w:name w:val="List Paragraph"/>
    <w:basedOn w:val="Normal"/>
    <w:uiPriority w:val="34"/>
    <w:qFormat/>
    <w:rsid w:val="000A20B8"/>
    <w:pPr>
      <w:ind w:left="720"/>
      <w:contextualSpacing/>
    </w:pPr>
  </w:style>
  <w:style w:type="table" w:styleId="Tabelacomgrade">
    <w:name w:val="Table Grid"/>
    <w:basedOn w:val="Tabelanormal"/>
    <w:uiPriority w:val="59"/>
    <w:rsid w:val="002350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1369</Words>
  <Characters>7398</Characters>
  <Application>Microsoft Office Word</Application>
  <DocSecurity>0</DocSecurity>
  <Lines>61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 Baranenko</dc:creator>
  <cp:lastModifiedBy>Roberto Pascoal Ribeiro</cp:lastModifiedBy>
  <cp:revision>5</cp:revision>
  <dcterms:created xsi:type="dcterms:W3CDTF">2017-05-26T19:16:00Z</dcterms:created>
  <dcterms:modified xsi:type="dcterms:W3CDTF">2017-05-26T19:54:00Z</dcterms:modified>
</cp:coreProperties>
</file>