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19F4E" w14:textId="77777777" w:rsidR="00CB38F9" w:rsidRDefault="00F1539B">
      <w:pPr>
        <w:rPr>
          <w:sz w:val="22"/>
          <w:szCs w:val="22"/>
        </w:rPr>
      </w:pPr>
      <w:r>
        <w:rPr>
          <w:b/>
          <w:sz w:val="22"/>
          <w:szCs w:val="22"/>
        </w:rPr>
        <w:t>RESOLUÇÃO GGG Nº 015/2024</w:t>
      </w:r>
    </w:p>
    <w:p w14:paraId="16796F45" w14:textId="77777777" w:rsidR="00CB38F9" w:rsidRDefault="00CB38F9">
      <w:pPr>
        <w:ind w:left="2608"/>
        <w:jc w:val="both"/>
        <w:rPr>
          <w:sz w:val="22"/>
          <w:szCs w:val="22"/>
        </w:rPr>
      </w:pPr>
    </w:p>
    <w:p w14:paraId="4BAE6E53" w14:textId="77777777" w:rsidR="00CB38F9" w:rsidRDefault="00CB38F9">
      <w:pPr>
        <w:ind w:left="4536"/>
        <w:jc w:val="both"/>
        <w:rPr>
          <w:sz w:val="22"/>
          <w:szCs w:val="22"/>
        </w:rPr>
      </w:pPr>
    </w:p>
    <w:p w14:paraId="0E8381CA" w14:textId="4CD2E5C1" w:rsidR="00A97D54" w:rsidRPr="00DC314B" w:rsidRDefault="00F1539B" w:rsidP="00A97D54">
      <w:pPr>
        <w:spacing w:before="120" w:after="120"/>
        <w:ind w:left="4536"/>
        <w:jc w:val="both"/>
        <w:rPr>
          <w:sz w:val="22"/>
          <w:szCs w:val="22"/>
        </w:rPr>
      </w:pPr>
      <w:r>
        <w:rPr>
          <w:sz w:val="22"/>
          <w:szCs w:val="22"/>
        </w:rPr>
        <w:t xml:space="preserve">O Governador do Estado de Santa Catarina autoriza estabelecer metas para o ajuste fiscal relacionadas às despesas com pessoal no âmbito da Administração Pública Estadual Direta, Autárquica e Fundacional do Poder Executivo e das empresas estatais dependentes submetidas ao Grupo Gestor de Governo. </w:t>
      </w:r>
      <w:r w:rsidRPr="00A97D54">
        <w:rPr>
          <w:b/>
          <w:sz w:val="22"/>
          <w:szCs w:val="22"/>
        </w:rPr>
        <w:t xml:space="preserve">Processo SGPe SEF </w:t>
      </w:r>
      <w:r w:rsidR="00105264" w:rsidRPr="00A97D54">
        <w:rPr>
          <w:b/>
          <w:sz w:val="22"/>
          <w:szCs w:val="22"/>
        </w:rPr>
        <w:t>7226</w:t>
      </w:r>
      <w:r w:rsidRPr="00A97D54">
        <w:rPr>
          <w:b/>
          <w:sz w:val="22"/>
          <w:szCs w:val="22"/>
        </w:rPr>
        <w:t>/2024.</w:t>
      </w:r>
      <w:r w:rsidR="00A97D54">
        <w:rPr>
          <w:b/>
          <w:sz w:val="22"/>
          <w:szCs w:val="22"/>
        </w:rPr>
        <w:t xml:space="preserve"> </w:t>
      </w:r>
      <w:r w:rsidR="00A97D54">
        <w:rPr>
          <w:sz w:val="22"/>
          <w:szCs w:val="22"/>
        </w:rPr>
        <w:t>(</w:t>
      </w:r>
      <w:r w:rsidR="00A97D54" w:rsidRPr="00DC314B">
        <w:rPr>
          <w:sz w:val="22"/>
          <w:szCs w:val="22"/>
        </w:rPr>
        <w:t>DOESC Nº 222</w:t>
      </w:r>
      <w:r w:rsidR="00A97D54">
        <w:rPr>
          <w:sz w:val="22"/>
          <w:szCs w:val="22"/>
        </w:rPr>
        <w:t>78</w:t>
      </w:r>
      <w:r w:rsidR="00A97D54" w:rsidRPr="00DC314B">
        <w:rPr>
          <w:sz w:val="22"/>
          <w:szCs w:val="22"/>
        </w:rPr>
        <w:t xml:space="preserve">, de </w:t>
      </w:r>
      <w:r w:rsidR="00A97D54">
        <w:rPr>
          <w:sz w:val="22"/>
          <w:szCs w:val="22"/>
        </w:rPr>
        <w:t>12</w:t>
      </w:r>
      <w:r w:rsidR="00A97D54" w:rsidRPr="00DC314B">
        <w:rPr>
          <w:sz w:val="22"/>
          <w:szCs w:val="22"/>
        </w:rPr>
        <w:t>.0</w:t>
      </w:r>
      <w:r w:rsidR="00A97D54">
        <w:rPr>
          <w:sz w:val="22"/>
          <w:szCs w:val="22"/>
        </w:rPr>
        <w:t>6</w:t>
      </w:r>
      <w:r w:rsidR="00A97D54" w:rsidRPr="00DC314B">
        <w:rPr>
          <w:sz w:val="22"/>
          <w:szCs w:val="22"/>
        </w:rPr>
        <w:t xml:space="preserve">.2024, p. </w:t>
      </w:r>
      <w:r w:rsidR="00A97D54">
        <w:rPr>
          <w:sz w:val="22"/>
          <w:szCs w:val="22"/>
        </w:rPr>
        <w:t>7 e 8</w:t>
      </w:r>
      <w:r w:rsidR="009878C6">
        <w:rPr>
          <w:sz w:val="22"/>
          <w:szCs w:val="22"/>
        </w:rPr>
        <w:t>)</w:t>
      </w:r>
    </w:p>
    <w:p w14:paraId="7C1D4584" w14:textId="77777777" w:rsidR="00CB38F9" w:rsidRDefault="00CB38F9">
      <w:pPr>
        <w:jc w:val="both"/>
        <w:rPr>
          <w:sz w:val="22"/>
          <w:szCs w:val="22"/>
        </w:rPr>
      </w:pPr>
    </w:p>
    <w:p w14:paraId="0A00D4D0" w14:textId="77777777" w:rsidR="00CB38F9" w:rsidRDefault="00F1539B">
      <w:pPr>
        <w:spacing w:before="120" w:after="120"/>
        <w:jc w:val="both"/>
        <w:rPr>
          <w:sz w:val="22"/>
          <w:szCs w:val="22"/>
        </w:rPr>
      </w:pPr>
      <w:r>
        <w:rPr>
          <w:b/>
          <w:sz w:val="22"/>
          <w:szCs w:val="22"/>
        </w:rPr>
        <w:t>O GRUPO GESTOR DE GOVERNO - GGG RECOMENDA AO GOVERNADOR DO ESTADO DE SANTA CATARINA</w:t>
      </w:r>
      <w:r>
        <w:rPr>
          <w:sz w:val="22"/>
          <w:szCs w:val="22"/>
        </w:rPr>
        <w:t xml:space="preserve"> a homologação da presente Resolução, no uso das competências que lhe são conferidas pelos artigos 37 e 38 da Lei Complementar nº 741, de 12 de junho de 2019; e</w:t>
      </w:r>
    </w:p>
    <w:p w14:paraId="5CF0ECC7" w14:textId="77777777" w:rsidR="00CB38F9" w:rsidRDefault="00F1539B">
      <w:pPr>
        <w:spacing w:before="240" w:after="120"/>
        <w:jc w:val="both"/>
        <w:rPr>
          <w:sz w:val="22"/>
          <w:szCs w:val="22"/>
        </w:rPr>
      </w:pPr>
      <w:r>
        <w:rPr>
          <w:b/>
          <w:sz w:val="22"/>
          <w:szCs w:val="22"/>
        </w:rPr>
        <w:t>CONSIDERANDO</w:t>
      </w:r>
      <w:r>
        <w:rPr>
          <w:sz w:val="22"/>
          <w:szCs w:val="22"/>
        </w:rPr>
        <w:t xml:space="preserve"> que as decisões de caráter normativo ou autorizativo do GGG terão a forma de Resolução e produzirão efeitos após serem homologadas pelo Governador do Estado e publicadas no Diário Oficial do Estado (DOE), de acordo com o disposto no art. 1º, § 2º do Decreto nº 903/2020;</w:t>
      </w:r>
    </w:p>
    <w:p w14:paraId="21B8777F" w14:textId="77777777" w:rsidR="00CB38F9" w:rsidRDefault="00CB38F9">
      <w:pPr>
        <w:jc w:val="both"/>
        <w:rPr>
          <w:sz w:val="22"/>
          <w:szCs w:val="22"/>
          <w:highlight w:val="white"/>
        </w:rPr>
      </w:pPr>
    </w:p>
    <w:p w14:paraId="3CCCF783" w14:textId="77777777" w:rsidR="00CB38F9" w:rsidRDefault="00F1539B">
      <w:pPr>
        <w:jc w:val="both"/>
        <w:rPr>
          <w:sz w:val="22"/>
          <w:szCs w:val="22"/>
          <w:highlight w:val="white"/>
        </w:rPr>
      </w:pPr>
      <w:r>
        <w:rPr>
          <w:b/>
          <w:sz w:val="22"/>
          <w:szCs w:val="22"/>
          <w:highlight w:val="white"/>
        </w:rPr>
        <w:t>CONSIDERANDO</w:t>
      </w:r>
      <w:r>
        <w:rPr>
          <w:sz w:val="22"/>
          <w:szCs w:val="22"/>
          <w:highlight w:val="white"/>
        </w:rPr>
        <w:t xml:space="preserve"> a necessidade de manutenção das metas de contenção de despesas com pessoal previstas no Plano de Ajuste Fiscal do Estado de Santa Catarina - PAFISC;</w:t>
      </w:r>
    </w:p>
    <w:p w14:paraId="1E403528" w14:textId="77777777" w:rsidR="00CB38F9" w:rsidRDefault="00CB38F9">
      <w:pPr>
        <w:jc w:val="both"/>
        <w:rPr>
          <w:sz w:val="22"/>
          <w:szCs w:val="22"/>
          <w:highlight w:val="white"/>
        </w:rPr>
      </w:pPr>
    </w:p>
    <w:p w14:paraId="20440DD5" w14:textId="77777777" w:rsidR="00CB38F9" w:rsidRDefault="00F1539B">
      <w:pPr>
        <w:jc w:val="both"/>
        <w:rPr>
          <w:sz w:val="22"/>
          <w:szCs w:val="22"/>
          <w:highlight w:val="white"/>
        </w:rPr>
      </w:pPr>
      <w:r>
        <w:rPr>
          <w:b/>
          <w:sz w:val="22"/>
          <w:szCs w:val="22"/>
          <w:highlight w:val="white"/>
        </w:rPr>
        <w:t>CONSIDERANDO</w:t>
      </w:r>
      <w:r>
        <w:rPr>
          <w:sz w:val="22"/>
          <w:szCs w:val="22"/>
          <w:highlight w:val="white"/>
        </w:rPr>
        <w:t xml:space="preserve"> os efeitos da </w:t>
      </w:r>
      <w:r>
        <w:rPr>
          <w:sz w:val="22"/>
          <w:szCs w:val="22"/>
        </w:rPr>
        <w:t>Lei Complementar federal nº 194, de 23 de junho de 2022, na arrecadação estadual,</w:t>
      </w:r>
    </w:p>
    <w:p w14:paraId="6DD37719" w14:textId="77777777" w:rsidR="00CB38F9" w:rsidRDefault="00CB38F9">
      <w:pPr>
        <w:jc w:val="both"/>
        <w:rPr>
          <w:sz w:val="22"/>
          <w:szCs w:val="22"/>
          <w:highlight w:val="white"/>
        </w:rPr>
      </w:pPr>
    </w:p>
    <w:p w14:paraId="648CE84D" w14:textId="77777777" w:rsidR="00CB38F9" w:rsidRDefault="00F1539B">
      <w:pPr>
        <w:jc w:val="both"/>
        <w:rPr>
          <w:sz w:val="22"/>
          <w:szCs w:val="22"/>
        </w:rPr>
      </w:pPr>
      <w:r>
        <w:rPr>
          <w:b/>
          <w:sz w:val="22"/>
          <w:szCs w:val="22"/>
          <w:highlight w:val="white"/>
        </w:rPr>
        <w:t>R E S O L V E:</w:t>
      </w:r>
    </w:p>
    <w:p w14:paraId="0CB8B34F" w14:textId="77777777" w:rsidR="00CB38F9" w:rsidRDefault="00CB38F9">
      <w:pPr>
        <w:jc w:val="both"/>
        <w:rPr>
          <w:sz w:val="22"/>
          <w:szCs w:val="22"/>
        </w:rPr>
      </w:pPr>
    </w:p>
    <w:p w14:paraId="24C38F4E" w14:textId="77777777" w:rsidR="00CB38F9" w:rsidRDefault="00F1539B">
      <w:pPr>
        <w:ind w:firstLine="709"/>
        <w:jc w:val="both"/>
        <w:rPr>
          <w:sz w:val="22"/>
          <w:szCs w:val="22"/>
        </w:rPr>
      </w:pPr>
      <w:r>
        <w:rPr>
          <w:b/>
          <w:sz w:val="22"/>
          <w:szCs w:val="22"/>
        </w:rPr>
        <w:t>Art. 1º</w:t>
      </w:r>
      <w:r>
        <w:rPr>
          <w:sz w:val="22"/>
          <w:szCs w:val="22"/>
        </w:rPr>
        <w:t xml:space="preserve"> Fica suspensa, até 1º de maio de 2025, a substituição de cargo em comissão ou função de confiança que implique aumento de despesa.</w:t>
      </w:r>
    </w:p>
    <w:p w14:paraId="7D5D6040" w14:textId="77777777" w:rsidR="00CB38F9" w:rsidRDefault="00CB38F9">
      <w:pPr>
        <w:ind w:firstLine="709"/>
        <w:jc w:val="both"/>
        <w:rPr>
          <w:sz w:val="22"/>
          <w:szCs w:val="22"/>
        </w:rPr>
      </w:pPr>
    </w:p>
    <w:p w14:paraId="02426AF2" w14:textId="77777777" w:rsidR="00CB38F9" w:rsidRDefault="00F1539B">
      <w:pPr>
        <w:ind w:firstLine="709"/>
        <w:jc w:val="both"/>
        <w:rPr>
          <w:sz w:val="22"/>
          <w:szCs w:val="22"/>
        </w:rPr>
      </w:pPr>
      <w:r>
        <w:rPr>
          <w:sz w:val="22"/>
          <w:szCs w:val="22"/>
        </w:rPr>
        <w:t>Parágrafo único. A designação para substituir cargo de provimento em comissão ou função de confiança durante período de afastamento temporário, somente poderá ser atribuída ao servidor ou empregado que já exerce cargo comissionado ou função de confiança do mesmo nível hierárquico ou superior ao exercido pelo titular.</w:t>
      </w:r>
    </w:p>
    <w:p w14:paraId="490D6469" w14:textId="77777777" w:rsidR="00CB38F9" w:rsidRDefault="00CB38F9" w:rsidP="002241BB">
      <w:pPr>
        <w:tabs>
          <w:tab w:val="left" w:pos="1418"/>
        </w:tabs>
        <w:ind w:firstLine="709"/>
        <w:jc w:val="both"/>
        <w:rPr>
          <w:sz w:val="22"/>
          <w:szCs w:val="22"/>
        </w:rPr>
      </w:pPr>
    </w:p>
    <w:p w14:paraId="21D1E737" w14:textId="77777777" w:rsidR="00CB38F9" w:rsidRDefault="00F1539B">
      <w:pPr>
        <w:ind w:firstLine="709"/>
        <w:jc w:val="both"/>
        <w:rPr>
          <w:sz w:val="22"/>
          <w:szCs w:val="22"/>
        </w:rPr>
      </w:pPr>
      <w:r>
        <w:rPr>
          <w:b/>
          <w:sz w:val="22"/>
          <w:szCs w:val="22"/>
        </w:rPr>
        <w:t>Art. 2º</w:t>
      </w:r>
      <w:r>
        <w:rPr>
          <w:sz w:val="22"/>
          <w:szCs w:val="22"/>
        </w:rPr>
        <w:t xml:space="preserve"> Fica sujeito à prévia análise do Grupo Gestor de Governo e à posterior autorização do Governador do Estado o pagamento de valores retroativos de competência de exercícios anteriores ao exercício corrente (exercícios findos), exceto os decorrentes de cumprimento de ordem judicial de processamento.</w:t>
      </w:r>
    </w:p>
    <w:p w14:paraId="0C9FF603" w14:textId="77777777" w:rsidR="00CB38F9" w:rsidRDefault="00CB38F9">
      <w:pPr>
        <w:ind w:firstLine="709"/>
        <w:jc w:val="both"/>
        <w:rPr>
          <w:sz w:val="22"/>
          <w:szCs w:val="22"/>
        </w:rPr>
      </w:pPr>
    </w:p>
    <w:p w14:paraId="6FAD7A13" w14:textId="77777777" w:rsidR="00CB38F9" w:rsidRDefault="00F1539B">
      <w:pPr>
        <w:ind w:firstLine="709"/>
        <w:jc w:val="both"/>
        <w:rPr>
          <w:sz w:val="22"/>
          <w:szCs w:val="22"/>
        </w:rPr>
      </w:pPr>
      <w:r>
        <w:rPr>
          <w:sz w:val="22"/>
          <w:szCs w:val="22"/>
        </w:rPr>
        <w:t xml:space="preserve">Parágrafo único. Não se aplica o disposto no </w:t>
      </w:r>
      <w:r>
        <w:rPr>
          <w:i/>
          <w:sz w:val="22"/>
          <w:szCs w:val="22"/>
        </w:rPr>
        <w:t xml:space="preserve">caput </w:t>
      </w:r>
      <w:r>
        <w:rPr>
          <w:sz w:val="22"/>
          <w:szCs w:val="22"/>
        </w:rPr>
        <w:t>deste artigo aos pagamentos retroativos de competência do exercício corrente.</w:t>
      </w:r>
    </w:p>
    <w:p w14:paraId="6D311273" w14:textId="77777777" w:rsidR="00CB38F9" w:rsidRDefault="00CB38F9">
      <w:pPr>
        <w:ind w:firstLine="709"/>
        <w:jc w:val="both"/>
        <w:rPr>
          <w:sz w:val="22"/>
          <w:szCs w:val="22"/>
        </w:rPr>
      </w:pPr>
    </w:p>
    <w:p w14:paraId="0E9DC72F" w14:textId="77777777" w:rsidR="00CB38F9" w:rsidRDefault="00F1539B">
      <w:pPr>
        <w:ind w:firstLine="709"/>
        <w:jc w:val="both"/>
        <w:rPr>
          <w:sz w:val="22"/>
          <w:szCs w:val="22"/>
        </w:rPr>
      </w:pPr>
      <w:r>
        <w:rPr>
          <w:b/>
          <w:sz w:val="22"/>
          <w:szCs w:val="22"/>
        </w:rPr>
        <w:lastRenderedPageBreak/>
        <w:t>Art. 3º</w:t>
      </w:r>
      <w:r>
        <w:rPr>
          <w:sz w:val="22"/>
          <w:szCs w:val="22"/>
        </w:rPr>
        <w:t xml:space="preserve"> Ficam sujeitas à prévia análise do Grupo Gestor de Governo e à posterior autorização do Governador do Estado as nomeações de aprovados em concursos públicos, bem como as requisições para a realização de novos certames.</w:t>
      </w:r>
    </w:p>
    <w:p w14:paraId="55EEFDDC" w14:textId="77777777" w:rsidR="00CB38F9" w:rsidRDefault="00CB38F9">
      <w:pPr>
        <w:ind w:firstLine="709"/>
        <w:jc w:val="both"/>
        <w:rPr>
          <w:sz w:val="22"/>
          <w:szCs w:val="22"/>
        </w:rPr>
      </w:pPr>
    </w:p>
    <w:p w14:paraId="4C8DCC12" w14:textId="77777777" w:rsidR="00CB38F9" w:rsidRDefault="00F1539B">
      <w:pPr>
        <w:ind w:firstLine="709"/>
        <w:jc w:val="both"/>
        <w:rPr>
          <w:sz w:val="22"/>
          <w:szCs w:val="22"/>
        </w:rPr>
      </w:pPr>
      <w:r>
        <w:rPr>
          <w:b/>
          <w:sz w:val="22"/>
          <w:szCs w:val="22"/>
        </w:rPr>
        <w:t>Art. 4º</w:t>
      </w:r>
      <w:r>
        <w:rPr>
          <w:sz w:val="22"/>
          <w:szCs w:val="22"/>
        </w:rPr>
        <w:t xml:space="preserve"> Ficam suspensas, até 1º de maio de 2025, novas concessões, a qualquer título, de vantagem, aumento, reajuste ou adequação de remuneração, que impliquem aumento de despesa.</w:t>
      </w:r>
    </w:p>
    <w:p w14:paraId="76DA9EA2" w14:textId="77777777" w:rsidR="00CB38F9" w:rsidRDefault="00CB38F9">
      <w:pPr>
        <w:ind w:firstLine="709"/>
        <w:jc w:val="both"/>
        <w:rPr>
          <w:sz w:val="22"/>
          <w:szCs w:val="22"/>
        </w:rPr>
      </w:pPr>
      <w:bookmarkStart w:id="0" w:name="_gjdgxs" w:colFirst="0" w:colLast="0"/>
      <w:bookmarkEnd w:id="0"/>
    </w:p>
    <w:p w14:paraId="3C04B3B9" w14:textId="77777777" w:rsidR="00CB38F9" w:rsidRDefault="00F1539B">
      <w:pPr>
        <w:ind w:firstLine="709"/>
        <w:jc w:val="both"/>
        <w:rPr>
          <w:sz w:val="22"/>
          <w:szCs w:val="22"/>
        </w:rPr>
      </w:pPr>
      <w:r>
        <w:rPr>
          <w:sz w:val="22"/>
          <w:szCs w:val="22"/>
        </w:rPr>
        <w:t xml:space="preserve">Parágrafo único. A disposição prevista no </w:t>
      </w:r>
      <w:r>
        <w:rPr>
          <w:i/>
          <w:sz w:val="22"/>
          <w:szCs w:val="22"/>
        </w:rPr>
        <w:t>caput</w:t>
      </w:r>
      <w:r>
        <w:rPr>
          <w:sz w:val="22"/>
          <w:szCs w:val="22"/>
        </w:rPr>
        <w:t xml:space="preserve"> deste artigo não se aplica às hipóteses listadas abaixo:</w:t>
      </w:r>
    </w:p>
    <w:p w14:paraId="1B6F9840" w14:textId="77777777" w:rsidR="00CB38F9" w:rsidRPr="002241BB" w:rsidRDefault="00F1539B" w:rsidP="002241BB">
      <w:pPr>
        <w:ind w:left="737"/>
        <w:jc w:val="both"/>
        <w:rPr>
          <w:sz w:val="22"/>
          <w:szCs w:val="22"/>
        </w:rPr>
      </w:pPr>
      <w:r w:rsidRPr="002241BB">
        <w:rPr>
          <w:sz w:val="22"/>
          <w:szCs w:val="22"/>
        </w:rPr>
        <w:t>I. Concessão dos seguintes benefícios:</w:t>
      </w:r>
    </w:p>
    <w:p w14:paraId="23309323" w14:textId="77777777" w:rsidR="00CB38F9" w:rsidRPr="002241BB" w:rsidRDefault="00F1539B">
      <w:pPr>
        <w:numPr>
          <w:ilvl w:val="1"/>
          <w:numId w:val="3"/>
        </w:numPr>
        <w:ind w:left="1560" w:firstLine="0"/>
        <w:jc w:val="both"/>
        <w:rPr>
          <w:sz w:val="22"/>
          <w:szCs w:val="22"/>
        </w:rPr>
      </w:pPr>
      <w:r w:rsidRPr="002241BB">
        <w:rPr>
          <w:sz w:val="22"/>
          <w:szCs w:val="22"/>
        </w:rPr>
        <w:t>Progressão/promoção funcional;</w:t>
      </w:r>
    </w:p>
    <w:p w14:paraId="19896EEC" w14:textId="77777777" w:rsidR="00CB38F9" w:rsidRPr="002241BB" w:rsidRDefault="00F1539B">
      <w:pPr>
        <w:numPr>
          <w:ilvl w:val="1"/>
          <w:numId w:val="3"/>
        </w:numPr>
        <w:ind w:left="1560" w:firstLine="0"/>
        <w:jc w:val="both"/>
        <w:rPr>
          <w:sz w:val="22"/>
          <w:szCs w:val="22"/>
        </w:rPr>
      </w:pPr>
      <w:r w:rsidRPr="002241BB">
        <w:rPr>
          <w:sz w:val="22"/>
          <w:szCs w:val="22"/>
        </w:rPr>
        <w:t>Adicional por tempo de serviço (triênio);</w:t>
      </w:r>
    </w:p>
    <w:p w14:paraId="487118F8" w14:textId="77777777" w:rsidR="00CB38F9" w:rsidRPr="002241BB" w:rsidRDefault="00F1539B">
      <w:pPr>
        <w:numPr>
          <w:ilvl w:val="1"/>
          <w:numId w:val="3"/>
        </w:numPr>
        <w:ind w:left="1560" w:firstLine="0"/>
        <w:jc w:val="both"/>
        <w:rPr>
          <w:sz w:val="22"/>
          <w:szCs w:val="22"/>
        </w:rPr>
      </w:pPr>
      <w:r w:rsidRPr="002241BB">
        <w:rPr>
          <w:sz w:val="22"/>
          <w:szCs w:val="22"/>
        </w:rPr>
        <w:t>Adicional e abono de permanência;</w:t>
      </w:r>
    </w:p>
    <w:p w14:paraId="35D7B5A4" w14:textId="77777777" w:rsidR="00CB38F9" w:rsidRPr="002241BB" w:rsidRDefault="00F1539B">
      <w:pPr>
        <w:numPr>
          <w:ilvl w:val="1"/>
          <w:numId w:val="3"/>
        </w:numPr>
        <w:ind w:left="1560" w:firstLine="0"/>
        <w:jc w:val="both"/>
        <w:rPr>
          <w:sz w:val="22"/>
          <w:szCs w:val="22"/>
        </w:rPr>
      </w:pPr>
      <w:r w:rsidRPr="002241BB">
        <w:rPr>
          <w:sz w:val="22"/>
          <w:szCs w:val="22"/>
        </w:rPr>
        <w:t>Adicional de pós-graduação;</w:t>
      </w:r>
    </w:p>
    <w:p w14:paraId="73E69E24" w14:textId="714DAE0E" w:rsidR="002241BB" w:rsidRPr="002241BB" w:rsidRDefault="00F1539B" w:rsidP="002241BB">
      <w:pPr>
        <w:pStyle w:val="PargrafodaLista"/>
        <w:numPr>
          <w:ilvl w:val="0"/>
          <w:numId w:val="3"/>
        </w:numPr>
        <w:ind w:left="1021" w:hanging="284"/>
        <w:jc w:val="both"/>
        <w:rPr>
          <w:sz w:val="22"/>
          <w:szCs w:val="22"/>
        </w:rPr>
      </w:pPr>
      <w:r w:rsidRPr="002241BB">
        <w:rPr>
          <w:sz w:val="22"/>
          <w:szCs w:val="22"/>
        </w:rPr>
        <w:t>Cumprimento de decisão judicial;</w:t>
      </w:r>
    </w:p>
    <w:p w14:paraId="0D05725C" w14:textId="77777777" w:rsidR="002241BB" w:rsidRPr="002241BB" w:rsidRDefault="00F1539B" w:rsidP="002241BB">
      <w:pPr>
        <w:pStyle w:val="PargrafodaLista"/>
        <w:numPr>
          <w:ilvl w:val="0"/>
          <w:numId w:val="3"/>
        </w:numPr>
        <w:ind w:left="1021" w:hanging="284"/>
        <w:jc w:val="both"/>
        <w:rPr>
          <w:sz w:val="22"/>
          <w:szCs w:val="22"/>
        </w:rPr>
      </w:pPr>
      <w:r w:rsidRPr="002241BB">
        <w:rPr>
          <w:sz w:val="22"/>
          <w:szCs w:val="22"/>
        </w:rPr>
        <w:t>Isenção de Imposto de Renda;</w:t>
      </w:r>
    </w:p>
    <w:p w14:paraId="4A8F6E71" w14:textId="16DBA5BE" w:rsidR="002241BB" w:rsidRPr="002241BB" w:rsidRDefault="002241BB" w:rsidP="002241BB">
      <w:pPr>
        <w:pStyle w:val="PargrafodaLista"/>
        <w:numPr>
          <w:ilvl w:val="0"/>
          <w:numId w:val="3"/>
        </w:numPr>
        <w:ind w:left="1021" w:hanging="284"/>
        <w:jc w:val="both"/>
        <w:rPr>
          <w:sz w:val="22"/>
          <w:szCs w:val="22"/>
        </w:rPr>
      </w:pPr>
      <w:r w:rsidRPr="002241BB">
        <w:rPr>
          <w:sz w:val="22"/>
          <w:szCs w:val="22"/>
        </w:rPr>
        <w:t>Pagamentos retroativos decorrentes de ajuste de folha ou na hipótese do art. 2º.</w:t>
      </w:r>
    </w:p>
    <w:p w14:paraId="4DFC8133" w14:textId="77777777" w:rsidR="00CB38F9" w:rsidRDefault="00CB38F9">
      <w:pPr>
        <w:ind w:firstLine="709"/>
        <w:jc w:val="both"/>
        <w:rPr>
          <w:sz w:val="22"/>
          <w:szCs w:val="22"/>
        </w:rPr>
      </w:pPr>
    </w:p>
    <w:p w14:paraId="6751301F" w14:textId="0BA75009" w:rsidR="002241BB" w:rsidRPr="009359B4" w:rsidRDefault="00F1539B" w:rsidP="002241BB">
      <w:pPr>
        <w:ind w:firstLine="709"/>
        <w:jc w:val="both"/>
        <w:rPr>
          <w:sz w:val="22"/>
          <w:szCs w:val="22"/>
        </w:rPr>
      </w:pPr>
      <w:r>
        <w:rPr>
          <w:b/>
          <w:sz w:val="22"/>
          <w:szCs w:val="22"/>
        </w:rPr>
        <w:t xml:space="preserve">Art. 5° </w:t>
      </w:r>
      <w:r>
        <w:rPr>
          <w:sz w:val="22"/>
          <w:szCs w:val="22"/>
        </w:rPr>
        <w:t xml:space="preserve">Ficam </w:t>
      </w:r>
      <w:r w:rsidRPr="009359B4">
        <w:rPr>
          <w:sz w:val="22"/>
          <w:szCs w:val="22"/>
        </w:rPr>
        <w:t>suspensos, até 1º de maio de 2025:</w:t>
      </w:r>
    </w:p>
    <w:p w14:paraId="3510B638" w14:textId="77777777" w:rsidR="002241BB" w:rsidRPr="009359B4" w:rsidRDefault="002241BB" w:rsidP="002241BB">
      <w:pPr>
        <w:ind w:firstLine="709"/>
        <w:jc w:val="both"/>
        <w:rPr>
          <w:sz w:val="22"/>
          <w:szCs w:val="22"/>
        </w:rPr>
      </w:pPr>
      <w:r w:rsidRPr="009359B4">
        <w:rPr>
          <w:sz w:val="22"/>
          <w:szCs w:val="22"/>
        </w:rPr>
        <w:t xml:space="preserve">I. </w:t>
      </w:r>
      <w:r w:rsidR="00F1539B" w:rsidRPr="009359B4">
        <w:rPr>
          <w:sz w:val="22"/>
          <w:szCs w:val="22"/>
        </w:rPr>
        <w:t>O deferimento de pedidos de gozo da licença especial de que trata a Lei nº 6.218, de 10 de fevereiro de 1983, formulados por servidores abrangidos pelo art. 9º da Lei Complementar nº 52, de 29 de maio de 1992; e</w:t>
      </w:r>
    </w:p>
    <w:p w14:paraId="1D3186FF" w14:textId="7777CAD4" w:rsidR="00CB38F9" w:rsidRPr="009359B4" w:rsidRDefault="002241BB" w:rsidP="002241BB">
      <w:pPr>
        <w:ind w:firstLine="709"/>
        <w:jc w:val="both"/>
        <w:rPr>
          <w:sz w:val="22"/>
          <w:szCs w:val="22"/>
        </w:rPr>
      </w:pPr>
      <w:r w:rsidRPr="009359B4">
        <w:rPr>
          <w:sz w:val="22"/>
          <w:szCs w:val="22"/>
        </w:rPr>
        <w:t xml:space="preserve">II. </w:t>
      </w:r>
      <w:r w:rsidR="00F1539B" w:rsidRPr="009359B4">
        <w:rPr>
          <w:sz w:val="22"/>
          <w:szCs w:val="22"/>
        </w:rPr>
        <w:t xml:space="preserve">O deferimento de pedidos de gozo de licença-prêmio formulados por servidores abrangidos pelo art. 15, I, da Lei Complementar nº </w:t>
      </w:r>
      <w:r w:rsidR="00BA7361" w:rsidRPr="009359B4">
        <w:rPr>
          <w:sz w:val="22"/>
          <w:szCs w:val="22"/>
        </w:rPr>
        <w:t>55, de</w:t>
      </w:r>
      <w:r w:rsidR="00F1539B" w:rsidRPr="009359B4">
        <w:rPr>
          <w:sz w:val="22"/>
          <w:szCs w:val="22"/>
        </w:rPr>
        <w:t xml:space="preserve"> 29 de maio de 1992.</w:t>
      </w:r>
    </w:p>
    <w:p w14:paraId="10149FAF" w14:textId="77777777" w:rsidR="00CB38F9" w:rsidRPr="009359B4" w:rsidRDefault="00CB38F9">
      <w:pPr>
        <w:ind w:firstLine="709"/>
        <w:jc w:val="both"/>
        <w:rPr>
          <w:b/>
          <w:sz w:val="22"/>
          <w:szCs w:val="22"/>
        </w:rPr>
      </w:pPr>
    </w:p>
    <w:p w14:paraId="023EB526" w14:textId="77777777" w:rsidR="00CB38F9" w:rsidRPr="009359B4" w:rsidRDefault="00F1539B">
      <w:pPr>
        <w:ind w:firstLine="709"/>
        <w:jc w:val="both"/>
        <w:rPr>
          <w:sz w:val="22"/>
          <w:szCs w:val="22"/>
        </w:rPr>
      </w:pPr>
      <w:r w:rsidRPr="009359B4">
        <w:rPr>
          <w:b/>
          <w:sz w:val="22"/>
          <w:szCs w:val="22"/>
        </w:rPr>
        <w:t xml:space="preserve">Art. 6° </w:t>
      </w:r>
      <w:r w:rsidRPr="009359B4">
        <w:rPr>
          <w:sz w:val="22"/>
          <w:szCs w:val="22"/>
        </w:rPr>
        <w:t>A suspensão de que trata os arts. 1°, 4° e 5° desta Resolução, excepcionalmente, poderá deixar de ser aplicada a casos específicos, os quais deverão ser submetidos à prévia análise do Grupo Gestor de Governo e à posterior autorização do Governador do Estado.</w:t>
      </w:r>
    </w:p>
    <w:p w14:paraId="3AB82B9A" w14:textId="77777777" w:rsidR="00CB38F9" w:rsidRDefault="00CB38F9">
      <w:pPr>
        <w:ind w:firstLine="709"/>
        <w:jc w:val="both"/>
        <w:rPr>
          <w:sz w:val="22"/>
          <w:szCs w:val="22"/>
        </w:rPr>
      </w:pPr>
    </w:p>
    <w:p w14:paraId="466D80A6" w14:textId="77777777" w:rsidR="00CB38F9" w:rsidRDefault="00F1539B">
      <w:pPr>
        <w:ind w:firstLine="709"/>
        <w:jc w:val="both"/>
        <w:rPr>
          <w:sz w:val="22"/>
          <w:szCs w:val="22"/>
        </w:rPr>
      </w:pPr>
      <w:r>
        <w:rPr>
          <w:b/>
          <w:sz w:val="22"/>
          <w:szCs w:val="22"/>
        </w:rPr>
        <w:t>Art. 7º</w:t>
      </w:r>
      <w:r>
        <w:rPr>
          <w:sz w:val="22"/>
          <w:szCs w:val="22"/>
        </w:rPr>
        <w:t xml:space="preserve"> Esta Resolução entra em vigor na data de sua homologação pelo Chefe do Poder Executivo e publicação no Diário Oficial do Estado (DOE), nos termos do § 2º do artigo 37 da Lei Complementar nº 741, de 12 de junho de 2019, produzindo efeitos retroativos, a contar de 1º de maio de 2024.</w:t>
      </w:r>
    </w:p>
    <w:p w14:paraId="71ED38A4" w14:textId="77777777" w:rsidR="00CB38F9" w:rsidRDefault="00CB38F9">
      <w:pPr>
        <w:ind w:firstLine="709"/>
        <w:jc w:val="both"/>
        <w:rPr>
          <w:sz w:val="22"/>
          <w:szCs w:val="22"/>
        </w:rPr>
      </w:pPr>
    </w:p>
    <w:p w14:paraId="34A2F1B3" w14:textId="77777777" w:rsidR="00CB38F9" w:rsidRDefault="00F1539B">
      <w:pPr>
        <w:pBdr>
          <w:top w:val="nil"/>
          <w:left w:val="nil"/>
          <w:bottom w:val="nil"/>
          <w:right w:val="nil"/>
          <w:between w:val="nil"/>
        </w:pBdr>
        <w:jc w:val="both"/>
        <w:rPr>
          <w:sz w:val="22"/>
          <w:szCs w:val="22"/>
        </w:rPr>
      </w:pPr>
      <w:r>
        <w:rPr>
          <w:sz w:val="22"/>
          <w:szCs w:val="22"/>
        </w:rPr>
        <w:t>Florianópolis, data da assinatura eletrônica.</w:t>
      </w:r>
    </w:p>
    <w:tbl>
      <w:tblPr>
        <w:tblStyle w:val="a"/>
        <w:tblW w:w="9351" w:type="dxa"/>
        <w:tblInd w:w="0" w:type="dxa"/>
        <w:tblLayout w:type="fixed"/>
        <w:tblLook w:val="0000" w:firstRow="0" w:lastRow="0" w:firstColumn="0" w:lastColumn="0" w:noHBand="0" w:noVBand="0"/>
      </w:tblPr>
      <w:tblGrid>
        <w:gridCol w:w="5098"/>
        <w:gridCol w:w="4253"/>
      </w:tblGrid>
      <w:tr w:rsidR="00A40FCA" w14:paraId="6F9A4967" w14:textId="77777777" w:rsidTr="00FD2B5D">
        <w:trPr>
          <w:trHeight w:val="284"/>
        </w:trPr>
        <w:tc>
          <w:tcPr>
            <w:tcW w:w="5098" w:type="dxa"/>
          </w:tcPr>
          <w:p w14:paraId="4B2112F9" w14:textId="77777777" w:rsidR="00A40FCA" w:rsidRDefault="00A40FCA" w:rsidP="00FD2B5D">
            <w:pPr>
              <w:jc w:val="center"/>
              <w:rPr>
                <w:sz w:val="22"/>
                <w:szCs w:val="22"/>
              </w:rPr>
            </w:pPr>
          </w:p>
          <w:p w14:paraId="45AEA3AF" w14:textId="77777777" w:rsidR="00A40FCA" w:rsidRDefault="00A40FCA" w:rsidP="00FD2B5D">
            <w:pPr>
              <w:jc w:val="center"/>
              <w:rPr>
                <w:sz w:val="22"/>
                <w:szCs w:val="22"/>
              </w:rPr>
            </w:pPr>
            <w:r>
              <w:rPr>
                <w:sz w:val="22"/>
                <w:szCs w:val="22"/>
              </w:rPr>
              <w:t>CLEVERSON SIEWERT</w:t>
            </w:r>
          </w:p>
          <w:p w14:paraId="57CA4C49" w14:textId="77777777" w:rsidR="00A40FCA" w:rsidRDefault="00A40FCA" w:rsidP="00FD2B5D">
            <w:pPr>
              <w:jc w:val="center"/>
              <w:rPr>
                <w:sz w:val="22"/>
                <w:szCs w:val="22"/>
              </w:rPr>
            </w:pPr>
            <w:r>
              <w:rPr>
                <w:sz w:val="22"/>
                <w:szCs w:val="22"/>
              </w:rPr>
              <w:t>Presidente do GGG</w:t>
            </w:r>
          </w:p>
          <w:p w14:paraId="06DD72F3" w14:textId="77777777" w:rsidR="00A40FCA" w:rsidRDefault="00A40FCA" w:rsidP="00FD2B5D">
            <w:pPr>
              <w:jc w:val="center"/>
              <w:rPr>
                <w:sz w:val="22"/>
                <w:szCs w:val="22"/>
              </w:rPr>
            </w:pPr>
            <w:r>
              <w:rPr>
                <w:sz w:val="22"/>
                <w:szCs w:val="22"/>
              </w:rPr>
              <w:t>Secretário de Estado da Fazenda</w:t>
            </w:r>
          </w:p>
          <w:p w14:paraId="371554BE" w14:textId="77777777" w:rsidR="00A40FCA" w:rsidRDefault="00A40FCA" w:rsidP="00FD2B5D">
            <w:pPr>
              <w:jc w:val="center"/>
              <w:rPr>
                <w:sz w:val="22"/>
                <w:szCs w:val="22"/>
              </w:rPr>
            </w:pPr>
          </w:p>
        </w:tc>
        <w:tc>
          <w:tcPr>
            <w:tcW w:w="4253" w:type="dxa"/>
          </w:tcPr>
          <w:p w14:paraId="4860BD89" w14:textId="77777777" w:rsidR="00A40FCA" w:rsidRDefault="00A40FCA" w:rsidP="00FD2B5D">
            <w:pPr>
              <w:jc w:val="center"/>
              <w:rPr>
                <w:sz w:val="22"/>
                <w:szCs w:val="22"/>
              </w:rPr>
            </w:pPr>
          </w:p>
          <w:p w14:paraId="2F699A5A" w14:textId="77777777" w:rsidR="00A40FCA" w:rsidRDefault="00A40FCA" w:rsidP="00FD2B5D">
            <w:pPr>
              <w:jc w:val="center"/>
              <w:rPr>
                <w:sz w:val="22"/>
                <w:szCs w:val="22"/>
              </w:rPr>
            </w:pPr>
            <w:r>
              <w:rPr>
                <w:sz w:val="22"/>
                <w:szCs w:val="22"/>
              </w:rPr>
              <w:t>VÂNIO BOING</w:t>
            </w:r>
          </w:p>
          <w:p w14:paraId="01533163" w14:textId="77777777" w:rsidR="00A40FCA" w:rsidRDefault="00A40FCA" w:rsidP="00FD2B5D">
            <w:pPr>
              <w:jc w:val="center"/>
              <w:rPr>
                <w:sz w:val="22"/>
                <w:szCs w:val="22"/>
              </w:rPr>
            </w:pPr>
            <w:r>
              <w:rPr>
                <w:sz w:val="22"/>
                <w:szCs w:val="22"/>
              </w:rPr>
              <w:t>Secretário de Estado da Administração</w:t>
            </w:r>
          </w:p>
        </w:tc>
      </w:tr>
      <w:tr w:rsidR="00A40FCA" w14:paraId="3EEDBD20" w14:textId="77777777" w:rsidTr="00FD2B5D">
        <w:trPr>
          <w:trHeight w:val="284"/>
        </w:trPr>
        <w:tc>
          <w:tcPr>
            <w:tcW w:w="5098" w:type="dxa"/>
          </w:tcPr>
          <w:p w14:paraId="0CFED53B" w14:textId="77777777" w:rsidR="00A40FCA" w:rsidRDefault="00A40FCA" w:rsidP="00FD2B5D">
            <w:pPr>
              <w:jc w:val="center"/>
              <w:rPr>
                <w:sz w:val="22"/>
                <w:szCs w:val="22"/>
              </w:rPr>
            </w:pPr>
            <w:r>
              <w:rPr>
                <w:sz w:val="22"/>
                <w:szCs w:val="22"/>
              </w:rPr>
              <w:t>MARCELO MENDES</w:t>
            </w:r>
          </w:p>
          <w:p w14:paraId="2746EB29" w14:textId="77777777" w:rsidR="00A40FCA" w:rsidRDefault="00A40FCA" w:rsidP="00FD2B5D">
            <w:pPr>
              <w:jc w:val="center"/>
              <w:rPr>
                <w:sz w:val="22"/>
                <w:szCs w:val="22"/>
              </w:rPr>
            </w:pPr>
            <w:r>
              <w:rPr>
                <w:sz w:val="22"/>
                <w:szCs w:val="22"/>
              </w:rPr>
              <w:t>Secretário de Estado da Casa Civil, designado</w:t>
            </w:r>
          </w:p>
        </w:tc>
        <w:tc>
          <w:tcPr>
            <w:tcW w:w="4253" w:type="dxa"/>
          </w:tcPr>
          <w:p w14:paraId="66B85C9C" w14:textId="77777777" w:rsidR="00A40FCA" w:rsidRDefault="00A40FCA" w:rsidP="00FD2B5D">
            <w:pPr>
              <w:jc w:val="center"/>
              <w:rPr>
                <w:sz w:val="22"/>
                <w:szCs w:val="22"/>
              </w:rPr>
            </w:pPr>
            <w:r>
              <w:rPr>
                <w:sz w:val="22"/>
                <w:szCs w:val="22"/>
              </w:rPr>
              <w:t>MÁRCIO LUIZ FOGAÇA VICARI</w:t>
            </w:r>
          </w:p>
          <w:p w14:paraId="49C5A8E9" w14:textId="77777777" w:rsidR="00A40FCA" w:rsidRDefault="00A40FCA" w:rsidP="00FD2B5D">
            <w:pPr>
              <w:jc w:val="center"/>
              <w:rPr>
                <w:sz w:val="22"/>
                <w:szCs w:val="22"/>
              </w:rPr>
            </w:pPr>
            <w:r>
              <w:rPr>
                <w:sz w:val="22"/>
                <w:szCs w:val="22"/>
              </w:rPr>
              <w:t>Procurador-Geral do Estado</w:t>
            </w:r>
          </w:p>
        </w:tc>
      </w:tr>
      <w:tr w:rsidR="00A40FCA" w14:paraId="76B53E6B" w14:textId="77777777" w:rsidTr="00FD2B5D">
        <w:trPr>
          <w:trHeight w:val="284"/>
        </w:trPr>
        <w:tc>
          <w:tcPr>
            <w:tcW w:w="5098" w:type="dxa"/>
          </w:tcPr>
          <w:p w14:paraId="417D3D3B" w14:textId="77777777" w:rsidR="00A40FCA" w:rsidRDefault="00A40FCA" w:rsidP="00FD2B5D">
            <w:pPr>
              <w:jc w:val="center"/>
              <w:rPr>
                <w:sz w:val="22"/>
                <w:szCs w:val="22"/>
              </w:rPr>
            </w:pPr>
          </w:p>
          <w:p w14:paraId="0EAAE075" w14:textId="77777777" w:rsidR="00A40FCA" w:rsidRDefault="00A40FCA" w:rsidP="00FD2B5D">
            <w:pPr>
              <w:jc w:val="center"/>
              <w:rPr>
                <w:sz w:val="22"/>
                <w:szCs w:val="22"/>
              </w:rPr>
            </w:pPr>
            <w:r>
              <w:rPr>
                <w:sz w:val="22"/>
                <w:szCs w:val="22"/>
              </w:rPr>
              <w:t>DANIELI BLANGER PINHEIRO PORPORATTI</w:t>
            </w:r>
          </w:p>
          <w:p w14:paraId="4C71AD5D" w14:textId="77777777" w:rsidR="00A40FCA" w:rsidRDefault="00A40FCA" w:rsidP="00FD2B5D">
            <w:pPr>
              <w:jc w:val="center"/>
              <w:rPr>
                <w:sz w:val="22"/>
                <w:szCs w:val="22"/>
              </w:rPr>
            </w:pPr>
            <w:r>
              <w:rPr>
                <w:sz w:val="22"/>
                <w:szCs w:val="22"/>
              </w:rPr>
              <w:t>Secretária do Gabinete do Governador do Estado</w:t>
            </w:r>
          </w:p>
          <w:p w14:paraId="40149FDA" w14:textId="77777777" w:rsidR="00A40FCA" w:rsidRDefault="00A40FCA" w:rsidP="00FD2B5D">
            <w:pPr>
              <w:jc w:val="center"/>
              <w:rPr>
                <w:sz w:val="22"/>
                <w:szCs w:val="22"/>
              </w:rPr>
            </w:pPr>
          </w:p>
          <w:p w14:paraId="6519243B" w14:textId="77777777" w:rsidR="00A40FCA" w:rsidRDefault="00A40FCA" w:rsidP="00FD2B5D">
            <w:pPr>
              <w:jc w:val="center"/>
              <w:rPr>
                <w:sz w:val="22"/>
                <w:szCs w:val="22"/>
              </w:rPr>
            </w:pPr>
          </w:p>
        </w:tc>
        <w:tc>
          <w:tcPr>
            <w:tcW w:w="4253" w:type="dxa"/>
          </w:tcPr>
          <w:p w14:paraId="108FC640" w14:textId="77777777" w:rsidR="00A40FCA" w:rsidRDefault="00A40FCA" w:rsidP="00FD2B5D">
            <w:pPr>
              <w:jc w:val="center"/>
              <w:rPr>
                <w:sz w:val="22"/>
                <w:szCs w:val="22"/>
              </w:rPr>
            </w:pPr>
          </w:p>
        </w:tc>
      </w:tr>
    </w:tbl>
    <w:p w14:paraId="1860D673" w14:textId="77777777" w:rsidR="00CB38F9" w:rsidRDefault="00F1539B">
      <w:pPr>
        <w:jc w:val="center"/>
        <w:rPr>
          <w:sz w:val="22"/>
          <w:szCs w:val="22"/>
        </w:rPr>
      </w:pPr>
      <w:r>
        <w:rPr>
          <w:b/>
          <w:sz w:val="22"/>
          <w:szCs w:val="22"/>
        </w:rPr>
        <w:t>Homologo a presente Resolução do Grupo Gestor de Governo.</w:t>
      </w:r>
    </w:p>
    <w:p w14:paraId="560FC4EE" w14:textId="77777777" w:rsidR="00CB38F9" w:rsidRDefault="00CB38F9">
      <w:pPr>
        <w:ind w:left="709"/>
        <w:jc w:val="center"/>
        <w:rPr>
          <w:sz w:val="22"/>
          <w:szCs w:val="22"/>
        </w:rPr>
      </w:pPr>
    </w:p>
    <w:p w14:paraId="3602BF6B" w14:textId="77777777" w:rsidR="00CB38F9" w:rsidRDefault="00F1539B">
      <w:pPr>
        <w:ind w:left="709"/>
        <w:jc w:val="center"/>
        <w:rPr>
          <w:sz w:val="22"/>
          <w:szCs w:val="22"/>
        </w:rPr>
      </w:pPr>
      <w:r>
        <w:rPr>
          <w:b/>
          <w:sz w:val="22"/>
          <w:szCs w:val="22"/>
        </w:rPr>
        <w:t>Florianópolis, data da assinatura eletrônica.</w:t>
      </w:r>
    </w:p>
    <w:p w14:paraId="2276475C" w14:textId="77777777" w:rsidR="00CB38F9" w:rsidRDefault="00CB38F9">
      <w:pPr>
        <w:ind w:left="709"/>
        <w:rPr>
          <w:sz w:val="22"/>
          <w:szCs w:val="22"/>
        </w:rPr>
      </w:pPr>
    </w:p>
    <w:p w14:paraId="791790F6" w14:textId="77777777" w:rsidR="00A40FCA" w:rsidRDefault="00A40FCA">
      <w:pPr>
        <w:ind w:left="709"/>
        <w:rPr>
          <w:sz w:val="22"/>
          <w:szCs w:val="22"/>
        </w:rPr>
      </w:pPr>
    </w:p>
    <w:p w14:paraId="2E9C65F2" w14:textId="77777777" w:rsidR="00CB38F9" w:rsidRDefault="00F1539B">
      <w:pPr>
        <w:ind w:left="709"/>
        <w:jc w:val="center"/>
        <w:rPr>
          <w:sz w:val="22"/>
          <w:szCs w:val="22"/>
        </w:rPr>
      </w:pPr>
      <w:r>
        <w:rPr>
          <w:b/>
          <w:sz w:val="22"/>
          <w:szCs w:val="22"/>
        </w:rPr>
        <w:t>Jorginho Mello</w:t>
      </w:r>
    </w:p>
    <w:p w14:paraId="40FFC05E" w14:textId="77777777" w:rsidR="00CB38F9" w:rsidRDefault="00F1539B">
      <w:pPr>
        <w:ind w:left="709"/>
        <w:jc w:val="center"/>
        <w:rPr>
          <w:b/>
          <w:sz w:val="22"/>
          <w:szCs w:val="22"/>
        </w:rPr>
      </w:pPr>
      <w:r>
        <w:rPr>
          <w:b/>
          <w:sz w:val="22"/>
          <w:szCs w:val="22"/>
        </w:rPr>
        <w:t>Governador do Estado</w:t>
      </w:r>
    </w:p>
    <w:tbl>
      <w:tblPr>
        <w:tblStyle w:val="a0"/>
        <w:tblW w:w="8042" w:type="dxa"/>
        <w:tblInd w:w="567" w:type="dxa"/>
        <w:tblLayout w:type="fixed"/>
        <w:tblLook w:val="0000" w:firstRow="0" w:lastRow="0" w:firstColumn="0" w:lastColumn="0" w:noHBand="0" w:noVBand="0"/>
      </w:tblPr>
      <w:tblGrid>
        <w:gridCol w:w="4962"/>
        <w:gridCol w:w="3080"/>
      </w:tblGrid>
      <w:tr w:rsidR="00CB38F9" w14:paraId="7089E670" w14:textId="77777777">
        <w:trPr>
          <w:trHeight w:val="284"/>
        </w:trPr>
        <w:tc>
          <w:tcPr>
            <w:tcW w:w="4962" w:type="dxa"/>
          </w:tcPr>
          <w:p w14:paraId="2E83AC9E" w14:textId="77777777" w:rsidR="00CB38F9" w:rsidRDefault="00CB38F9">
            <w:pPr>
              <w:ind w:left="72"/>
              <w:rPr>
                <w:sz w:val="22"/>
                <w:szCs w:val="22"/>
              </w:rPr>
            </w:pPr>
          </w:p>
        </w:tc>
        <w:tc>
          <w:tcPr>
            <w:tcW w:w="3080" w:type="dxa"/>
          </w:tcPr>
          <w:p w14:paraId="0C81F468" w14:textId="77777777" w:rsidR="00CB38F9" w:rsidRDefault="00F1539B">
            <w:pPr>
              <w:ind w:left="72"/>
              <w:jc w:val="center"/>
              <w:rPr>
                <w:sz w:val="22"/>
                <w:szCs w:val="22"/>
              </w:rPr>
            </w:pPr>
            <w:r>
              <w:rPr>
                <w:sz w:val="22"/>
                <w:szCs w:val="22"/>
              </w:rPr>
              <w:t>Registre-se, comunique-se</w:t>
            </w:r>
          </w:p>
        </w:tc>
      </w:tr>
      <w:tr w:rsidR="00CB38F9" w14:paraId="4382CB62" w14:textId="77777777">
        <w:trPr>
          <w:trHeight w:val="284"/>
        </w:trPr>
        <w:tc>
          <w:tcPr>
            <w:tcW w:w="4962" w:type="dxa"/>
          </w:tcPr>
          <w:p w14:paraId="755A3A6A" w14:textId="77777777" w:rsidR="00CB38F9" w:rsidRDefault="00CB38F9">
            <w:pPr>
              <w:ind w:left="72"/>
              <w:rPr>
                <w:sz w:val="22"/>
                <w:szCs w:val="22"/>
              </w:rPr>
            </w:pPr>
          </w:p>
        </w:tc>
        <w:tc>
          <w:tcPr>
            <w:tcW w:w="3080" w:type="dxa"/>
          </w:tcPr>
          <w:p w14:paraId="7A1A0010" w14:textId="77777777" w:rsidR="00CB38F9" w:rsidRDefault="00F1539B">
            <w:pPr>
              <w:ind w:left="72"/>
              <w:jc w:val="center"/>
              <w:rPr>
                <w:sz w:val="22"/>
                <w:szCs w:val="22"/>
              </w:rPr>
            </w:pPr>
            <w:r>
              <w:rPr>
                <w:sz w:val="22"/>
                <w:szCs w:val="22"/>
              </w:rPr>
              <w:t>e publique-se.</w:t>
            </w:r>
          </w:p>
          <w:p w14:paraId="217FEBB9" w14:textId="77777777" w:rsidR="00105264" w:rsidRDefault="00105264">
            <w:pPr>
              <w:ind w:left="72"/>
              <w:jc w:val="center"/>
              <w:rPr>
                <w:sz w:val="22"/>
                <w:szCs w:val="22"/>
              </w:rPr>
            </w:pPr>
          </w:p>
        </w:tc>
      </w:tr>
      <w:tr w:rsidR="00CB38F9" w14:paraId="5EE7AD35" w14:textId="77777777">
        <w:trPr>
          <w:trHeight w:val="284"/>
        </w:trPr>
        <w:tc>
          <w:tcPr>
            <w:tcW w:w="4962" w:type="dxa"/>
          </w:tcPr>
          <w:p w14:paraId="0BC14AC4" w14:textId="77777777" w:rsidR="00CB38F9" w:rsidRDefault="00CB38F9">
            <w:pPr>
              <w:ind w:left="72"/>
              <w:rPr>
                <w:sz w:val="22"/>
                <w:szCs w:val="22"/>
              </w:rPr>
            </w:pPr>
          </w:p>
        </w:tc>
        <w:tc>
          <w:tcPr>
            <w:tcW w:w="3080" w:type="dxa"/>
          </w:tcPr>
          <w:p w14:paraId="115E04B7" w14:textId="77777777" w:rsidR="00CB38F9" w:rsidRDefault="00F1539B">
            <w:pPr>
              <w:ind w:left="72"/>
              <w:jc w:val="center"/>
              <w:rPr>
                <w:sz w:val="22"/>
                <w:szCs w:val="22"/>
              </w:rPr>
            </w:pPr>
            <w:r>
              <w:rPr>
                <w:sz w:val="22"/>
                <w:szCs w:val="22"/>
              </w:rPr>
              <w:t>César Fernando Cavalli</w:t>
            </w:r>
          </w:p>
        </w:tc>
      </w:tr>
      <w:tr w:rsidR="00CB38F9" w14:paraId="62AF1BDE" w14:textId="77777777">
        <w:trPr>
          <w:trHeight w:val="284"/>
        </w:trPr>
        <w:tc>
          <w:tcPr>
            <w:tcW w:w="4962" w:type="dxa"/>
          </w:tcPr>
          <w:p w14:paraId="78ECA417" w14:textId="77777777" w:rsidR="00CB38F9" w:rsidRDefault="00CB38F9">
            <w:pPr>
              <w:ind w:left="72"/>
              <w:rPr>
                <w:sz w:val="22"/>
                <w:szCs w:val="22"/>
              </w:rPr>
            </w:pPr>
          </w:p>
        </w:tc>
        <w:tc>
          <w:tcPr>
            <w:tcW w:w="3080" w:type="dxa"/>
          </w:tcPr>
          <w:p w14:paraId="295FFE64" w14:textId="77777777" w:rsidR="00CB38F9" w:rsidRDefault="00F1539B">
            <w:pPr>
              <w:ind w:left="72"/>
              <w:jc w:val="center"/>
              <w:rPr>
                <w:sz w:val="22"/>
                <w:szCs w:val="22"/>
              </w:rPr>
            </w:pPr>
            <w:r>
              <w:rPr>
                <w:sz w:val="22"/>
                <w:szCs w:val="22"/>
              </w:rPr>
              <w:t>Secretário do GGG</w:t>
            </w:r>
          </w:p>
        </w:tc>
      </w:tr>
    </w:tbl>
    <w:p w14:paraId="72CCEFCF" w14:textId="77777777" w:rsidR="00CB38F9" w:rsidRDefault="00CB38F9">
      <w:pPr>
        <w:jc w:val="center"/>
        <w:rPr>
          <w:sz w:val="22"/>
          <w:szCs w:val="22"/>
        </w:rPr>
      </w:pPr>
    </w:p>
    <w:sectPr w:rsidR="00CB38F9">
      <w:headerReference w:type="default" r:id="rId7"/>
      <w:footerReference w:type="default" r:id="rId8"/>
      <w:pgSz w:w="11906" w:h="16838"/>
      <w:pgMar w:top="1418" w:right="1418"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0E59C" w14:textId="77777777" w:rsidR="00F1539B" w:rsidRDefault="00F1539B">
      <w:r>
        <w:separator/>
      </w:r>
    </w:p>
  </w:endnote>
  <w:endnote w:type="continuationSeparator" w:id="0">
    <w:p w14:paraId="2B172BED" w14:textId="77777777" w:rsidR="00F1539B" w:rsidRDefault="00F1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0709" w14:textId="77777777" w:rsidR="00CB38F9" w:rsidRDefault="00F1539B">
    <w:pPr>
      <w:pBdr>
        <w:top w:val="nil"/>
        <w:left w:val="nil"/>
        <w:bottom w:val="nil"/>
        <w:right w:val="nil"/>
        <w:between w:val="nil"/>
      </w:pBdr>
      <w:tabs>
        <w:tab w:val="center" w:pos="4252"/>
        <w:tab w:val="right" w:pos="8504"/>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1857AAEE" w14:textId="77777777" w:rsidR="00CB38F9" w:rsidRDefault="00CB38F9">
    <w:pPr>
      <w:pBdr>
        <w:top w:val="nil"/>
        <w:left w:val="nil"/>
        <w:bottom w:val="nil"/>
        <w:right w:val="nil"/>
        <w:between w:val="nil"/>
      </w:pBdr>
      <w:tabs>
        <w:tab w:val="center" w:pos="4252"/>
        <w:tab w:val="right" w:pos="8504"/>
      </w:tabs>
      <w:rPr>
        <w:color w:val="000000"/>
      </w:rPr>
    </w:pPr>
  </w:p>
  <w:p w14:paraId="76452AF3" w14:textId="77777777" w:rsidR="00CB38F9" w:rsidRDefault="00CB3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A1FB4" w14:textId="77777777" w:rsidR="00F1539B" w:rsidRDefault="00F1539B">
      <w:r>
        <w:separator/>
      </w:r>
    </w:p>
  </w:footnote>
  <w:footnote w:type="continuationSeparator" w:id="0">
    <w:p w14:paraId="2F0FFB14" w14:textId="77777777" w:rsidR="00F1539B" w:rsidRDefault="00F1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0719" w14:textId="77777777" w:rsidR="00CB38F9" w:rsidRDefault="00CB38F9">
    <w:pPr>
      <w:widowControl w:val="0"/>
      <w:pBdr>
        <w:top w:val="nil"/>
        <w:left w:val="nil"/>
        <w:bottom w:val="nil"/>
        <w:right w:val="nil"/>
        <w:between w:val="nil"/>
      </w:pBdr>
      <w:spacing w:line="276" w:lineRule="auto"/>
      <w:rPr>
        <w:sz w:val="22"/>
        <w:szCs w:val="22"/>
      </w:rPr>
    </w:pPr>
  </w:p>
  <w:tbl>
    <w:tblPr>
      <w:tblStyle w:val="a1"/>
      <w:tblW w:w="8726" w:type="dxa"/>
      <w:tblInd w:w="0" w:type="dxa"/>
      <w:tblLayout w:type="fixed"/>
      <w:tblLook w:val="0000" w:firstRow="0" w:lastRow="0" w:firstColumn="0" w:lastColumn="0" w:noHBand="0" w:noVBand="0"/>
    </w:tblPr>
    <w:tblGrid>
      <w:gridCol w:w="788"/>
      <w:gridCol w:w="7938"/>
    </w:tblGrid>
    <w:tr w:rsidR="00CB38F9" w14:paraId="124CE5FC" w14:textId="77777777">
      <w:tc>
        <w:tcPr>
          <w:tcW w:w="788" w:type="dxa"/>
          <w:vAlign w:val="center"/>
        </w:tcPr>
        <w:p w14:paraId="4F7C02BA" w14:textId="77777777" w:rsidR="00CB38F9" w:rsidRDefault="00F1539B">
          <w:pPr>
            <w:pBdr>
              <w:top w:val="nil"/>
              <w:left w:val="nil"/>
              <w:bottom w:val="nil"/>
              <w:right w:val="nil"/>
              <w:between w:val="nil"/>
            </w:pBdr>
            <w:tabs>
              <w:tab w:val="center" w:pos="4252"/>
              <w:tab w:val="right" w:pos="8504"/>
            </w:tabs>
            <w:rPr>
              <w:rFonts w:ascii="Times New Roman" w:eastAsia="Times New Roman" w:hAnsi="Times New Roman" w:cs="Times New Roman"/>
              <w:color w:val="000000"/>
            </w:rPr>
          </w:pPr>
          <w:r>
            <w:rPr>
              <w:noProof/>
              <w:color w:val="000000"/>
            </w:rPr>
            <w:drawing>
              <wp:inline distT="0" distB="0" distL="114300" distR="114300" wp14:anchorId="1E1F48F8" wp14:editId="313F06C5">
                <wp:extent cx="435610" cy="5257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5610" cy="525780"/>
                        </a:xfrm>
                        <a:prstGeom prst="rect">
                          <a:avLst/>
                        </a:prstGeom>
                        <a:ln/>
                      </pic:spPr>
                    </pic:pic>
                  </a:graphicData>
                </a:graphic>
              </wp:inline>
            </w:drawing>
          </w:r>
        </w:p>
      </w:tc>
      <w:tc>
        <w:tcPr>
          <w:tcW w:w="7938" w:type="dxa"/>
          <w:vAlign w:val="center"/>
        </w:tcPr>
        <w:p w14:paraId="63817FB2" w14:textId="77777777" w:rsidR="00CB38F9" w:rsidRDefault="00F1539B">
          <w:pPr>
            <w:pBdr>
              <w:top w:val="nil"/>
              <w:left w:val="nil"/>
              <w:bottom w:val="nil"/>
              <w:right w:val="nil"/>
              <w:between w:val="nil"/>
            </w:pBdr>
            <w:tabs>
              <w:tab w:val="center" w:pos="4252"/>
              <w:tab w:val="right" w:pos="8504"/>
            </w:tabs>
            <w:rPr>
              <w:color w:val="000000"/>
              <w:sz w:val="22"/>
              <w:szCs w:val="22"/>
            </w:rPr>
          </w:pPr>
          <w:r>
            <w:rPr>
              <w:b/>
              <w:color w:val="000000"/>
              <w:sz w:val="22"/>
              <w:szCs w:val="22"/>
            </w:rPr>
            <w:t>ESTADO DE SANTA CATARINA</w:t>
          </w:r>
        </w:p>
        <w:p w14:paraId="7A0CBF9B" w14:textId="77777777" w:rsidR="00CB38F9" w:rsidRDefault="00F1539B">
          <w:pPr>
            <w:pBdr>
              <w:top w:val="nil"/>
              <w:left w:val="nil"/>
              <w:bottom w:val="nil"/>
              <w:right w:val="nil"/>
              <w:between w:val="nil"/>
            </w:pBdr>
            <w:tabs>
              <w:tab w:val="center" w:pos="4252"/>
              <w:tab w:val="right" w:pos="8504"/>
            </w:tabs>
            <w:rPr>
              <w:color w:val="000000"/>
              <w:sz w:val="22"/>
              <w:szCs w:val="22"/>
            </w:rPr>
          </w:pPr>
          <w:r>
            <w:rPr>
              <w:b/>
              <w:color w:val="000000"/>
              <w:sz w:val="22"/>
              <w:szCs w:val="22"/>
            </w:rPr>
            <w:t>SECRETARIA DE ESTADO DA FAZENDA</w:t>
          </w:r>
        </w:p>
        <w:p w14:paraId="561F8562" w14:textId="77777777" w:rsidR="00CB38F9" w:rsidRDefault="00F1539B">
          <w:pPr>
            <w:pBdr>
              <w:top w:val="nil"/>
              <w:left w:val="nil"/>
              <w:bottom w:val="nil"/>
              <w:right w:val="nil"/>
              <w:between w:val="nil"/>
            </w:pBdr>
            <w:tabs>
              <w:tab w:val="center" w:pos="4252"/>
              <w:tab w:val="right" w:pos="8504"/>
            </w:tabs>
            <w:rPr>
              <w:color w:val="000000"/>
              <w:sz w:val="22"/>
              <w:szCs w:val="22"/>
              <w:highlight w:val="lightGray"/>
            </w:rPr>
          </w:pPr>
          <w:r>
            <w:rPr>
              <w:b/>
              <w:color w:val="000000"/>
              <w:sz w:val="22"/>
              <w:szCs w:val="22"/>
            </w:rPr>
            <w:t>GRUPO GESTOR DE GOVERNO</w:t>
          </w:r>
        </w:p>
      </w:tc>
    </w:tr>
  </w:tbl>
  <w:p w14:paraId="2B1F9ECF" w14:textId="77777777" w:rsidR="00CB38F9" w:rsidRDefault="00CB38F9">
    <w:pPr>
      <w:pBdr>
        <w:top w:val="nil"/>
        <w:left w:val="nil"/>
        <w:bottom w:val="nil"/>
        <w:right w:val="nil"/>
        <w:between w:val="nil"/>
      </w:pBdr>
      <w:tabs>
        <w:tab w:val="center" w:pos="4252"/>
        <w:tab w:val="right" w:pos="8504"/>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4A4"/>
    <w:multiLevelType w:val="multilevel"/>
    <w:tmpl w:val="A08E1818"/>
    <w:lvl w:ilvl="0">
      <w:start w:val="1"/>
      <w:numFmt w:val="upperRoman"/>
      <w:lvlText w:val="%1."/>
      <w:lvlJc w:val="right"/>
      <w:pPr>
        <w:ind w:left="518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88109A"/>
    <w:multiLevelType w:val="multilevel"/>
    <w:tmpl w:val="BD1EAF24"/>
    <w:lvl w:ilvl="0">
      <w:start w:val="1"/>
      <w:numFmt w:val="upperRoman"/>
      <w:lvlText w:val="%1."/>
      <w:lvlJc w:val="left"/>
      <w:pPr>
        <w:ind w:left="3272" w:hanging="720"/>
      </w:pPr>
      <w:rPr>
        <w:color w:val="auto"/>
        <w:vertAlign w:val="baseline"/>
      </w:rPr>
    </w:lvl>
    <w:lvl w:ilvl="1">
      <w:start w:val="1"/>
      <w:numFmt w:val="lowerLetter"/>
      <w:lvlText w:val="%2."/>
      <w:lvlJc w:val="left"/>
      <w:pPr>
        <w:ind w:left="3632" w:hanging="360"/>
      </w:pPr>
      <w:rPr>
        <w:vertAlign w:val="baseline"/>
      </w:rPr>
    </w:lvl>
    <w:lvl w:ilvl="2">
      <w:start w:val="1"/>
      <w:numFmt w:val="lowerRoman"/>
      <w:lvlText w:val="%3."/>
      <w:lvlJc w:val="right"/>
      <w:pPr>
        <w:ind w:left="4352" w:hanging="180"/>
      </w:pPr>
      <w:rPr>
        <w:vertAlign w:val="baseline"/>
      </w:rPr>
    </w:lvl>
    <w:lvl w:ilvl="3">
      <w:start w:val="1"/>
      <w:numFmt w:val="decimal"/>
      <w:lvlText w:val="%4."/>
      <w:lvlJc w:val="left"/>
      <w:pPr>
        <w:ind w:left="5072" w:hanging="360"/>
      </w:pPr>
      <w:rPr>
        <w:vertAlign w:val="baseline"/>
      </w:rPr>
    </w:lvl>
    <w:lvl w:ilvl="4">
      <w:start w:val="1"/>
      <w:numFmt w:val="lowerLetter"/>
      <w:lvlText w:val="%5."/>
      <w:lvlJc w:val="left"/>
      <w:pPr>
        <w:ind w:left="5792" w:hanging="360"/>
      </w:pPr>
      <w:rPr>
        <w:vertAlign w:val="baseline"/>
      </w:rPr>
    </w:lvl>
    <w:lvl w:ilvl="5">
      <w:start w:val="1"/>
      <w:numFmt w:val="lowerRoman"/>
      <w:lvlText w:val="%6."/>
      <w:lvlJc w:val="right"/>
      <w:pPr>
        <w:ind w:left="6512" w:hanging="180"/>
      </w:pPr>
      <w:rPr>
        <w:vertAlign w:val="baseline"/>
      </w:rPr>
    </w:lvl>
    <w:lvl w:ilvl="6">
      <w:start w:val="1"/>
      <w:numFmt w:val="decimal"/>
      <w:lvlText w:val="%7."/>
      <w:lvlJc w:val="left"/>
      <w:pPr>
        <w:ind w:left="7232" w:hanging="360"/>
      </w:pPr>
      <w:rPr>
        <w:vertAlign w:val="baseline"/>
      </w:rPr>
    </w:lvl>
    <w:lvl w:ilvl="7">
      <w:start w:val="1"/>
      <w:numFmt w:val="lowerLetter"/>
      <w:lvlText w:val="%8."/>
      <w:lvlJc w:val="left"/>
      <w:pPr>
        <w:ind w:left="7952" w:hanging="360"/>
      </w:pPr>
      <w:rPr>
        <w:vertAlign w:val="baseline"/>
      </w:rPr>
    </w:lvl>
    <w:lvl w:ilvl="8">
      <w:start w:val="1"/>
      <w:numFmt w:val="lowerRoman"/>
      <w:lvlText w:val="%9."/>
      <w:lvlJc w:val="right"/>
      <w:pPr>
        <w:ind w:left="8672" w:hanging="180"/>
      </w:pPr>
      <w:rPr>
        <w:vertAlign w:val="baseline"/>
      </w:rPr>
    </w:lvl>
  </w:abstractNum>
  <w:abstractNum w:abstractNumId="2" w15:restartNumberingAfterBreak="0">
    <w:nsid w:val="6FF975AB"/>
    <w:multiLevelType w:val="multilevel"/>
    <w:tmpl w:val="D49C219C"/>
    <w:lvl w:ilvl="0">
      <w:start w:val="3"/>
      <w:numFmt w:val="upperRoman"/>
      <w:lvlText w:val="%1."/>
      <w:lvlJc w:val="left"/>
      <w:pPr>
        <w:ind w:left="1713" w:hanging="71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num w:numId="1" w16cid:durableId="1674407579">
    <w:abstractNumId w:val="2"/>
  </w:num>
  <w:num w:numId="2" w16cid:durableId="1720395969">
    <w:abstractNumId w:val="0"/>
  </w:num>
  <w:num w:numId="3" w16cid:durableId="1644851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8F9"/>
    <w:rsid w:val="00020C21"/>
    <w:rsid w:val="00105264"/>
    <w:rsid w:val="002241BB"/>
    <w:rsid w:val="00414981"/>
    <w:rsid w:val="00582ABA"/>
    <w:rsid w:val="00612480"/>
    <w:rsid w:val="00736C9C"/>
    <w:rsid w:val="009359B4"/>
    <w:rsid w:val="009878C6"/>
    <w:rsid w:val="00A3400A"/>
    <w:rsid w:val="00A40FCA"/>
    <w:rsid w:val="00A97D54"/>
    <w:rsid w:val="00BA7361"/>
    <w:rsid w:val="00C66A62"/>
    <w:rsid w:val="00CB38F9"/>
    <w:rsid w:val="00CD460A"/>
    <w:rsid w:val="00E42C2C"/>
    <w:rsid w:val="00F153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54C1"/>
  <w15:docId w15:val="{004B8F83-2B47-41D3-A3ED-BC26BEAD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PargrafodaLista">
    <w:name w:val="List Paragraph"/>
    <w:basedOn w:val="Normal"/>
    <w:uiPriority w:val="34"/>
    <w:qFormat/>
    <w:rsid w:val="00224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3826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SEFSC-BR</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Inês Maier</dc:creator>
  <cp:lastModifiedBy>Raquel Perottoni Schiefler</cp:lastModifiedBy>
  <cp:revision>5</cp:revision>
  <dcterms:created xsi:type="dcterms:W3CDTF">2024-05-28T17:01:00Z</dcterms:created>
  <dcterms:modified xsi:type="dcterms:W3CDTF">2024-06-12T19:34:00Z</dcterms:modified>
</cp:coreProperties>
</file>