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0C5" w:rsidRDefault="00AB30C5"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Default="00196EF7" w:rsidP="00196EF7">
      <w:pPr>
        <w:jc w:val="center"/>
        <w:rPr>
          <w:b/>
          <w:sz w:val="36"/>
          <w:szCs w:val="36"/>
        </w:rPr>
      </w:pPr>
    </w:p>
    <w:p w:rsidR="00196EF7" w:rsidRDefault="00196EF7" w:rsidP="00196EF7">
      <w:pPr>
        <w:jc w:val="center"/>
        <w:rPr>
          <w:b/>
          <w:sz w:val="36"/>
          <w:szCs w:val="36"/>
        </w:rPr>
      </w:pPr>
    </w:p>
    <w:p w:rsidR="00196EF7" w:rsidRDefault="00196EF7" w:rsidP="00196EF7">
      <w:pPr>
        <w:jc w:val="center"/>
        <w:rPr>
          <w:b/>
          <w:sz w:val="36"/>
          <w:szCs w:val="36"/>
        </w:rPr>
      </w:pPr>
    </w:p>
    <w:p w:rsidR="00196EF7" w:rsidRPr="00196EF7" w:rsidRDefault="00196EF7" w:rsidP="00196EF7">
      <w:pPr>
        <w:jc w:val="center"/>
        <w:rPr>
          <w:rFonts w:ascii="Arial" w:hAnsi="Arial" w:cs="Arial"/>
          <w:b/>
          <w:sz w:val="44"/>
          <w:szCs w:val="44"/>
        </w:rPr>
      </w:pPr>
      <w:r w:rsidRPr="00196EF7">
        <w:rPr>
          <w:rFonts w:ascii="Arial" w:hAnsi="Arial" w:cs="Arial"/>
          <w:b/>
          <w:sz w:val="44"/>
          <w:szCs w:val="44"/>
        </w:rPr>
        <w:t>Orientações sobre Programação Financeira</w:t>
      </w:r>
    </w:p>
    <w:p w:rsidR="00196EF7" w:rsidRDefault="00D650A0" w:rsidP="00AB30C5">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bookmarkStart w:id="0" w:name="_GoBack"/>
      <w:bookmarkEnd w:id="0"/>
      <w:r w:rsidR="0019033C">
        <w:rPr>
          <w:rFonts w:ascii="Arial" w:hAnsi="Arial" w:cs="Arial"/>
          <w:b/>
          <w:sz w:val="24"/>
          <w:szCs w:val="24"/>
        </w:rPr>
        <w:t>Revisado</w:t>
      </w:r>
      <w:r>
        <w:rPr>
          <w:rFonts w:ascii="Arial" w:hAnsi="Arial" w:cs="Arial"/>
          <w:b/>
          <w:sz w:val="24"/>
          <w:szCs w:val="24"/>
        </w:rPr>
        <w:t xml:space="preserve"> em </w:t>
      </w:r>
      <w:r w:rsidR="00A3694D">
        <w:rPr>
          <w:rFonts w:ascii="Arial" w:hAnsi="Arial" w:cs="Arial"/>
          <w:b/>
          <w:sz w:val="24"/>
          <w:szCs w:val="24"/>
        </w:rPr>
        <w:t>22/05/2023</w:t>
      </w:r>
      <w:r>
        <w:rPr>
          <w:rFonts w:ascii="Arial" w:hAnsi="Arial" w:cs="Arial"/>
          <w:b/>
          <w:sz w:val="24"/>
          <w:szCs w:val="24"/>
        </w:rPr>
        <w:t>)</w:t>
      </w:r>
    </w:p>
    <w:p w:rsidR="00196EF7" w:rsidRDefault="00196EF7"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C2CCE" w:rsidRDefault="001C2CCE"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Default="00196EF7" w:rsidP="00AB30C5">
      <w:pPr>
        <w:spacing w:after="0"/>
        <w:rPr>
          <w:rFonts w:ascii="Arial" w:hAnsi="Arial" w:cs="Arial"/>
          <w:b/>
          <w:sz w:val="24"/>
          <w:szCs w:val="24"/>
        </w:rPr>
      </w:pPr>
    </w:p>
    <w:p w:rsidR="00196EF7" w:rsidRPr="00196EF7" w:rsidRDefault="00196EF7" w:rsidP="00196EF7">
      <w:pPr>
        <w:spacing w:after="0"/>
        <w:rPr>
          <w:rFonts w:ascii="Arial" w:hAnsi="Arial" w:cs="Arial"/>
          <w:b/>
          <w:sz w:val="20"/>
          <w:szCs w:val="20"/>
        </w:rPr>
      </w:pPr>
      <w:r w:rsidRPr="00196EF7">
        <w:rPr>
          <w:rFonts w:ascii="Arial" w:hAnsi="Arial" w:cs="Arial"/>
          <w:b/>
          <w:sz w:val="20"/>
          <w:szCs w:val="20"/>
        </w:rPr>
        <w:t xml:space="preserve">DIRETORIA DO TESOURO ESTADUAL – DITE </w:t>
      </w:r>
    </w:p>
    <w:p w:rsidR="00196EF7" w:rsidRPr="00196EF7" w:rsidRDefault="00196EF7" w:rsidP="00196EF7">
      <w:pPr>
        <w:spacing w:after="0"/>
        <w:rPr>
          <w:rFonts w:ascii="Arial" w:hAnsi="Arial" w:cs="Arial"/>
          <w:b/>
          <w:sz w:val="20"/>
          <w:szCs w:val="20"/>
        </w:rPr>
      </w:pPr>
      <w:r w:rsidRPr="00196EF7">
        <w:rPr>
          <w:rFonts w:ascii="Arial" w:hAnsi="Arial" w:cs="Arial"/>
          <w:b/>
          <w:sz w:val="20"/>
          <w:szCs w:val="20"/>
        </w:rPr>
        <w:t xml:space="preserve">Gerência de Programação Financeira – GEPFI </w:t>
      </w:r>
    </w:p>
    <w:p w:rsidR="002D5A71" w:rsidRDefault="002D5A71">
      <w:pPr>
        <w:rPr>
          <w:rFonts w:ascii="Arial" w:hAnsi="Arial" w:cs="Arial"/>
          <w:b/>
          <w:sz w:val="20"/>
          <w:szCs w:val="20"/>
        </w:rPr>
      </w:pPr>
      <w:r>
        <w:rPr>
          <w:rFonts w:ascii="Arial" w:hAnsi="Arial" w:cs="Arial"/>
          <w:b/>
          <w:sz w:val="20"/>
          <w:szCs w:val="20"/>
        </w:rPr>
        <w:br w:type="page"/>
      </w: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lastRenderedPageBreak/>
        <w:t>GOVERNO DO ESTADO DE SANTA CATARINA</w:t>
      </w:r>
    </w:p>
    <w:p w:rsidR="002D5A71" w:rsidRDefault="00A3694D" w:rsidP="002D5A71">
      <w:pPr>
        <w:spacing w:after="0"/>
        <w:jc w:val="center"/>
        <w:rPr>
          <w:rFonts w:ascii="Arial" w:hAnsi="Arial" w:cs="Arial"/>
          <w:b/>
          <w:sz w:val="20"/>
          <w:szCs w:val="20"/>
        </w:rPr>
      </w:pPr>
      <w:r>
        <w:rPr>
          <w:rFonts w:ascii="Arial" w:hAnsi="Arial" w:cs="Arial"/>
          <w:b/>
          <w:sz w:val="20"/>
          <w:szCs w:val="20"/>
        </w:rPr>
        <w:t>Jorginho Mello</w:t>
      </w:r>
      <w:r w:rsidR="002D5A71" w:rsidRPr="002D5A71">
        <w:rPr>
          <w:rFonts w:ascii="Arial" w:hAnsi="Arial" w:cs="Arial"/>
          <w:b/>
          <w:sz w:val="20"/>
          <w:szCs w:val="20"/>
        </w:rPr>
        <w:t xml:space="preserve"> (Governador do Estado de Santa Catarina)</w:t>
      </w:r>
    </w:p>
    <w:p w:rsid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SECRETARIA DE ESTADO DA FAZENDA</w:t>
      </w:r>
    </w:p>
    <w:p w:rsidR="002D5A71" w:rsidRDefault="00A3694D" w:rsidP="002D5A71">
      <w:pPr>
        <w:spacing w:after="0"/>
        <w:jc w:val="center"/>
        <w:rPr>
          <w:rFonts w:ascii="Arial" w:hAnsi="Arial" w:cs="Arial"/>
          <w:b/>
          <w:sz w:val="20"/>
          <w:szCs w:val="20"/>
        </w:rPr>
      </w:pPr>
      <w:r w:rsidRPr="00A3694D">
        <w:rPr>
          <w:rFonts w:ascii="Arial" w:hAnsi="Arial" w:cs="Arial"/>
          <w:b/>
          <w:bCs/>
          <w:sz w:val="20"/>
          <w:szCs w:val="20"/>
        </w:rPr>
        <w:t>Cleverson Siewert</w:t>
      </w:r>
      <w:r>
        <w:rPr>
          <w:rFonts w:ascii="Arial" w:hAnsi="Arial" w:cs="Arial"/>
          <w:b/>
          <w:sz w:val="20"/>
          <w:szCs w:val="20"/>
        </w:rPr>
        <w:t xml:space="preserve"> </w:t>
      </w:r>
      <w:r w:rsidR="002D5A71" w:rsidRPr="002D5A71">
        <w:rPr>
          <w:rFonts w:ascii="Arial" w:hAnsi="Arial" w:cs="Arial"/>
          <w:b/>
          <w:sz w:val="20"/>
          <w:szCs w:val="20"/>
        </w:rPr>
        <w:t xml:space="preserve"> (Secretário de Estado)</w:t>
      </w:r>
    </w:p>
    <w:p w:rsid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DIRETORIA DO TESOURO ESTADUAL</w:t>
      </w:r>
    </w:p>
    <w:p w:rsidR="002D5A71" w:rsidRDefault="00A3694D" w:rsidP="002D5A71">
      <w:pPr>
        <w:spacing w:after="0"/>
        <w:jc w:val="center"/>
        <w:rPr>
          <w:rFonts w:ascii="Arial" w:hAnsi="Arial" w:cs="Arial"/>
          <w:b/>
          <w:sz w:val="20"/>
          <w:szCs w:val="20"/>
        </w:rPr>
      </w:pPr>
      <w:r>
        <w:rPr>
          <w:rFonts w:ascii="Arial" w:hAnsi="Arial" w:cs="Arial"/>
          <w:b/>
          <w:sz w:val="20"/>
          <w:szCs w:val="20"/>
        </w:rPr>
        <w:t>Clovis Renato S</w:t>
      </w:r>
      <w:r w:rsidRPr="00A3694D">
        <w:rPr>
          <w:rFonts w:ascii="Arial" w:hAnsi="Arial" w:cs="Arial"/>
          <w:b/>
          <w:sz w:val="20"/>
          <w:szCs w:val="20"/>
        </w:rPr>
        <w:t>quio</w:t>
      </w:r>
      <w:r w:rsidR="002D5A71" w:rsidRPr="002D5A71">
        <w:rPr>
          <w:rFonts w:ascii="Arial" w:hAnsi="Arial" w:cs="Arial"/>
          <w:b/>
          <w:sz w:val="20"/>
          <w:szCs w:val="20"/>
        </w:rPr>
        <w:t xml:space="preserve"> (Diretor do Tesouro)</w:t>
      </w:r>
    </w:p>
    <w:p w:rsid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GERÊNCIA DE PROGRAMAÇÃO FINANCEIRA</w:t>
      </w:r>
    </w:p>
    <w:p w:rsid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SERVIDORES RESPONSÁVEIS:</w:t>
      </w:r>
    </w:p>
    <w:p w:rsidR="002D5A71" w:rsidRDefault="002D5A71" w:rsidP="002D5A71">
      <w:pPr>
        <w:spacing w:after="0"/>
        <w:jc w:val="center"/>
        <w:rPr>
          <w:rFonts w:ascii="Arial" w:hAnsi="Arial" w:cs="Arial"/>
          <w:b/>
          <w:sz w:val="20"/>
          <w:szCs w:val="20"/>
        </w:rPr>
      </w:pPr>
      <w:r>
        <w:rPr>
          <w:rFonts w:ascii="Arial" w:hAnsi="Arial" w:cs="Arial"/>
          <w:b/>
          <w:sz w:val="20"/>
          <w:szCs w:val="20"/>
        </w:rPr>
        <w:t>Márcio Luiz Lohmeyer</w:t>
      </w:r>
    </w:p>
    <w:p w:rsidR="002D5A71" w:rsidRDefault="006065E7" w:rsidP="002D5A71">
      <w:pPr>
        <w:spacing w:after="0"/>
        <w:jc w:val="center"/>
        <w:rPr>
          <w:rFonts w:ascii="Arial" w:hAnsi="Arial" w:cs="Arial"/>
          <w:b/>
          <w:sz w:val="20"/>
          <w:szCs w:val="20"/>
        </w:rPr>
      </w:pPr>
      <w:r>
        <w:rPr>
          <w:rFonts w:ascii="Arial" w:hAnsi="Arial" w:cs="Arial"/>
          <w:b/>
          <w:sz w:val="20"/>
          <w:szCs w:val="20"/>
        </w:rPr>
        <w:t>Daniel Neves Damiani</w:t>
      </w:r>
    </w:p>
    <w:p w:rsidR="002D5A71" w:rsidRPr="002D5A71" w:rsidRDefault="00A3694D" w:rsidP="002D5A71">
      <w:pPr>
        <w:spacing w:after="0"/>
        <w:jc w:val="center"/>
        <w:rPr>
          <w:rFonts w:ascii="Arial" w:hAnsi="Arial" w:cs="Arial"/>
          <w:b/>
          <w:sz w:val="20"/>
          <w:szCs w:val="20"/>
        </w:rPr>
      </w:pPr>
      <w:r w:rsidRPr="00A3694D">
        <w:rPr>
          <w:rFonts w:ascii="Arial" w:hAnsi="Arial" w:cs="Arial"/>
          <w:b/>
          <w:bCs/>
          <w:sz w:val="20"/>
          <w:szCs w:val="20"/>
        </w:rPr>
        <w:t>Alexandre Studart Nogueira</w:t>
      </w:r>
    </w:p>
    <w:p w:rsidR="002D5A71" w:rsidRPr="002D5A71" w:rsidRDefault="002D5A71" w:rsidP="002D5A71">
      <w:pPr>
        <w:spacing w:after="0"/>
        <w:jc w:val="center"/>
        <w:rPr>
          <w:rFonts w:ascii="Arial" w:hAnsi="Arial" w:cs="Arial"/>
          <w:b/>
          <w:sz w:val="20"/>
          <w:szCs w:val="20"/>
        </w:rPr>
      </w:pP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Centro Administrativo do Governo do Estado</w:t>
      </w: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Rodovia SC 401 – km 05 – nº 4600 – Saco Grande II</w:t>
      </w:r>
    </w:p>
    <w:p w:rsidR="002D5A71" w:rsidRPr="002D5A71" w:rsidRDefault="002D5A71" w:rsidP="002D5A71">
      <w:pPr>
        <w:spacing w:after="0"/>
        <w:jc w:val="center"/>
        <w:rPr>
          <w:rFonts w:ascii="Arial" w:hAnsi="Arial" w:cs="Arial"/>
          <w:b/>
          <w:sz w:val="20"/>
          <w:szCs w:val="20"/>
        </w:rPr>
      </w:pPr>
      <w:r w:rsidRPr="002D5A71">
        <w:rPr>
          <w:rFonts w:ascii="Arial" w:hAnsi="Arial" w:cs="Arial"/>
          <w:b/>
          <w:sz w:val="20"/>
          <w:szCs w:val="20"/>
        </w:rPr>
        <w:t>Cep: 88.032-005</w:t>
      </w:r>
    </w:p>
    <w:p w:rsidR="002D5A71" w:rsidRDefault="002D5A71" w:rsidP="002D5A71">
      <w:pPr>
        <w:spacing w:after="0"/>
        <w:jc w:val="center"/>
        <w:rPr>
          <w:rFonts w:ascii="Arial" w:hAnsi="Arial" w:cs="Arial"/>
          <w:b/>
          <w:sz w:val="20"/>
          <w:szCs w:val="20"/>
        </w:rPr>
      </w:pPr>
      <w:r w:rsidRPr="002D5A71">
        <w:rPr>
          <w:rFonts w:ascii="Arial" w:hAnsi="Arial" w:cs="Arial"/>
          <w:b/>
          <w:sz w:val="20"/>
          <w:szCs w:val="20"/>
        </w:rPr>
        <w:t xml:space="preserve">Florianópolis </w:t>
      </w:r>
      <w:r>
        <w:rPr>
          <w:rFonts w:ascii="Arial" w:hAnsi="Arial" w:cs="Arial"/>
          <w:b/>
          <w:sz w:val="20"/>
          <w:szCs w:val="20"/>
        </w:rPr>
        <w:t>–</w:t>
      </w:r>
      <w:r w:rsidRPr="002D5A71">
        <w:rPr>
          <w:rFonts w:ascii="Arial" w:hAnsi="Arial" w:cs="Arial"/>
          <w:b/>
          <w:sz w:val="20"/>
          <w:szCs w:val="20"/>
        </w:rPr>
        <w:t xml:space="preserve"> SC</w:t>
      </w:r>
    </w:p>
    <w:p w:rsidR="002D5A71" w:rsidRPr="002D5A71" w:rsidRDefault="002D5A71" w:rsidP="002D5A71">
      <w:pPr>
        <w:spacing w:after="0"/>
        <w:jc w:val="center"/>
        <w:rPr>
          <w:rFonts w:ascii="Arial" w:hAnsi="Arial" w:cs="Arial"/>
          <w:b/>
          <w:sz w:val="20"/>
          <w:szCs w:val="20"/>
        </w:rPr>
      </w:pPr>
    </w:p>
    <w:p w:rsidR="006B28C5" w:rsidRDefault="00A3694D" w:rsidP="0019033C">
      <w:pPr>
        <w:spacing w:after="0"/>
        <w:jc w:val="center"/>
        <w:rPr>
          <w:rFonts w:ascii="Arial" w:hAnsi="Arial" w:cs="Arial"/>
          <w:b/>
          <w:sz w:val="20"/>
          <w:szCs w:val="20"/>
        </w:rPr>
      </w:pPr>
      <w:r>
        <w:rPr>
          <w:rFonts w:ascii="Arial" w:hAnsi="Arial" w:cs="Arial"/>
          <w:b/>
          <w:sz w:val="20"/>
          <w:szCs w:val="20"/>
        </w:rPr>
        <w:t>4</w:t>
      </w:r>
      <w:r w:rsidR="002D5A71" w:rsidRPr="002D5A71">
        <w:rPr>
          <w:rFonts w:ascii="Arial" w:hAnsi="Arial" w:cs="Arial"/>
          <w:b/>
          <w:sz w:val="20"/>
          <w:szCs w:val="20"/>
        </w:rPr>
        <w:t>ª edição</w:t>
      </w:r>
      <w:r w:rsidR="006B28C5">
        <w:rPr>
          <w:rFonts w:ascii="Arial" w:hAnsi="Arial" w:cs="Arial"/>
          <w:b/>
          <w:sz w:val="20"/>
          <w:szCs w:val="20"/>
        </w:rPr>
        <w:br w:type="page"/>
      </w:r>
    </w:p>
    <w:p w:rsidR="0019033C" w:rsidRPr="006B28C5" w:rsidRDefault="0019033C" w:rsidP="00897B29">
      <w:pPr>
        <w:spacing w:before="120" w:after="0"/>
        <w:rPr>
          <w:rFonts w:ascii="Arial" w:hAnsi="Arial" w:cs="Arial"/>
          <w:sz w:val="20"/>
          <w:szCs w:val="20"/>
        </w:rPr>
      </w:pPr>
    </w:p>
    <w:p w:rsidR="00AD2EA6" w:rsidRDefault="00AD2EA6" w:rsidP="00AD2EA6">
      <w:pPr>
        <w:shd w:val="clear" w:color="auto" w:fill="EAEAEA"/>
        <w:spacing w:after="0"/>
        <w:jc w:val="center"/>
        <w:rPr>
          <w:rFonts w:ascii="Arial" w:hAnsi="Arial" w:cs="Arial"/>
          <w:sz w:val="20"/>
          <w:szCs w:val="20"/>
        </w:rPr>
      </w:pPr>
    </w:p>
    <w:p w:rsidR="00AD2EA6" w:rsidRPr="00AD2EA6" w:rsidRDefault="00AD2EA6" w:rsidP="00AD2EA6">
      <w:pPr>
        <w:shd w:val="clear" w:color="auto" w:fill="EAEAEA"/>
        <w:spacing w:after="0"/>
        <w:jc w:val="center"/>
        <w:rPr>
          <w:rFonts w:ascii="Arial" w:hAnsi="Arial" w:cs="Arial"/>
          <w:b/>
          <w:sz w:val="20"/>
          <w:szCs w:val="20"/>
        </w:rPr>
      </w:pPr>
      <w:bookmarkStart w:id="1" w:name="INTRODUÇÃO"/>
      <w:r w:rsidRPr="00AD2EA6">
        <w:rPr>
          <w:rFonts w:ascii="Arial" w:hAnsi="Arial" w:cs="Arial"/>
          <w:b/>
          <w:sz w:val="20"/>
          <w:szCs w:val="20"/>
        </w:rPr>
        <w:t>INTRODUÇÃO</w:t>
      </w:r>
    </w:p>
    <w:bookmarkEnd w:id="1"/>
    <w:p w:rsidR="00AD2EA6" w:rsidRDefault="00AD2EA6" w:rsidP="00AD2EA6">
      <w:pPr>
        <w:shd w:val="clear" w:color="auto" w:fill="EAEAEA"/>
        <w:spacing w:after="0"/>
        <w:jc w:val="center"/>
        <w:rPr>
          <w:rFonts w:ascii="Arial" w:hAnsi="Arial" w:cs="Arial"/>
          <w:sz w:val="20"/>
          <w:szCs w:val="20"/>
        </w:rPr>
      </w:pPr>
    </w:p>
    <w:p w:rsidR="00AD2EA6" w:rsidRDefault="00AD2EA6" w:rsidP="00AD2EA6">
      <w:pPr>
        <w:jc w:val="both"/>
        <w:rPr>
          <w:rFonts w:ascii="Arial" w:hAnsi="Arial" w:cs="Arial"/>
          <w:sz w:val="20"/>
          <w:szCs w:val="20"/>
        </w:rPr>
      </w:pPr>
    </w:p>
    <w:p w:rsidR="00AD2EA6" w:rsidRPr="00A70D77" w:rsidRDefault="00AD2EA6" w:rsidP="00AD2EA6">
      <w:pPr>
        <w:jc w:val="both"/>
        <w:rPr>
          <w:rFonts w:ascii="Arial" w:hAnsi="Arial" w:cs="Arial"/>
        </w:rPr>
      </w:pPr>
      <w:r w:rsidRPr="00A70D77">
        <w:rPr>
          <w:rFonts w:ascii="Arial" w:hAnsi="Arial" w:cs="Arial"/>
        </w:rPr>
        <w:t>Em decorrência da necessidade de garantir o cumprimento dos resultados fiscais estabelecidos na LDO e de obter maior controle sobre os gastos, a Administração Pública, em atendimento aos arts. 8º, 9º e 13º da LRF, faz a programação orçamentária e financeira da execução das despesas públicas, bem como o monitoramento do cumprimento das metas de superávit primário.</w:t>
      </w:r>
    </w:p>
    <w:p w:rsidR="00AD2EA6" w:rsidRPr="00A70D77" w:rsidRDefault="00AD2EA6" w:rsidP="00AD2EA6">
      <w:pPr>
        <w:jc w:val="both"/>
        <w:rPr>
          <w:rFonts w:ascii="Arial" w:hAnsi="Arial" w:cs="Arial"/>
        </w:rPr>
      </w:pPr>
      <w:r w:rsidRPr="00A70D77">
        <w:rPr>
          <w:rFonts w:ascii="Arial" w:hAnsi="Arial" w:cs="Arial"/>
        </w:rPr>
        <w:t>A preocupação de manter o equilíbrio entre receitas e despesas no momento da execução orçamentária já constava na Lei no 4.320, de 1964, prevendo a necessidade de estipular cotas trimestrais das despesas que cada UO ficava autorizada a utilizar.</w:t>
      </w:r>
    </w:p>
    <w:p w:rsidR="00AD2EA6" w:rsidRPr="00A70D77" w:rsidRDefault="00AD2EA6" w:rsidP="00AD2EA6">
      <w:pPr>
        <w:jc w:val="both"/>
        <w:rPr>
          <w:rFonts w:ascii="Arial" w:hAnsi="Arial" w:cs="Arial"/>
        </w:rPr>
      </w:pPr>
      <w:r w:rsidRPr="00A70D77">
        <w:rPr>
          <w:rFonts w:ascii="Arial" w:hAnsi="Arial" w:cs="Arial"/>
        </w:rPr>
        <w:t>Esse mecanismo foi aperfeiçoado na LRF, que determina a elaboração da programação financeira e do cronograma mensal de desembolso, bem como a fixação das metas bimestrais de arrecadação, no prazo de 30 dias após a publicação dos orçamentos.</w:t>
      </w:r>
    </w:p>
    <w:p w:rsidR="00AD2EA6" w:rsidRPr="00A70D77" w:rsidRDefault="00AD2EA6" w:rsidP="00AD2EA6">
      <w:pPr>
        <w:jc w:val="both"/>
        <w:rPr>
          <w:rFonts w:ascii="Arial" w:hAnsi="Arial" w:cs="Arial"/>
        </w:rPr>
      </w:pPr>
      <w:r w:rsidRPr="00A70D77">
        <w:rPr>
          <w:rFonts w:ascii="Arial" w:hAnsi="Arial" w:cs="Arial"/>
        </w:rPr>
        <w:t>Verificada a frustração na arrecadação da receita prevista ou o aumento das despesas obrigatórias, que venham a comprometer o alcance das metas fiscais, torna-se necessária a adoção de mecanismos de ajuste entre receita e despesa.</w:t>
      </w:r>
    </w:p>
    <w:p w:rsidR="00AD2EA6" w:rsidRPr="00A70D77" w:rsidRDefault="00AD2EA6" w:rsidP="00AD2EA6">
      <w:pPr>
        <w:jc w:val="both"/>
        <w:rPr>
          <w:rFonts w:ascii="Arial" w:hAnsi="Arial" w:cs="Arial"/>
        </w:rPr>
      </w:pPr>
      <w:r w:rsidRPr="00A70D77">
        <w:rPr>
          <w:rFonts w:ascii="Arial" w:hAnsi="Arial" w:cs="Arial"/>
        </w:rPr>
        <w:t>A limitação dos gastos públicos é feita por decreto do Poder Executivo e por ato próprio dos demais Poderes.</w:t>
      </w:r>
      <w:r w:rsidR="00214FEC">
        <w:rPr>
          <w:rFonts w:ascii="Arial" w:hAnsi="Arial" w:cs="Arial"/>
        </w:rPr>
        <w:t xml:space="preserve"> </w:t>
      </w:r>
      <w:r w:rsidRPr="00A70D77">
        <w:rPr>
          <w:rFonts w:ascii="Arial" w:hAnsi="Arial" w:cs="Arial"/>
        </w:rPr>
        <w:t>No âmbito do Poder Executivo, esse decreto ficou conhecido como Decreto de Contingenciamento, que, normalmente, é detalhado por portaria interministerial (MP e MF), evidenciados os valores autorizados para movimentação e empenho e para pagamentos no decorrer do exercício. Em resumo, os objetivos desse mecanismo são:</w:t>
      </w:r>
    </w:p>
    <w:p w:rsidR="00AD2EA6" w:rsidRPr="00A70D77" w:rsidRDefault="00AD2EA6" w:rsidP="00AD2EA6">
      <w:pPr>
        <w:jc w:val="both"/>
        <w:rPr>
          <w:rFonts w:ascii="Arial" w:hAnsi="Arial" w:cs="Arial"/>
        </w:rPr>
      </w:pPr>
      <w:r w:rsidRPr="00A70D77">
        <w:rPr>
          <w:rFonts w:ascii="Arial" w:hAnsi="Arial" w:cs="Arial"/>
        </w:rPr>
        <w:t>a) estabelecer normas específicas de execução orçamentária e financeira para o exercício;</w:t>
      </w:r>
    </w:p>
    <w:p w:rsidR="00AD2EA6" w:rsidRPr="00A70D77" w:rsidRDefault="00AD2EA6" w:rsidP="00AD2EA6">
      <w:pPr>
        <w:jc w:val="both"/>
        <w:rPr>
          <w:rFonts w:ascii="Arial" w:hAnsi="Arial" w:cs="Arial"/>
        </w:rPr>
      </w:pPr>
      <w:r w:rsidRPr="00A70D77">
        <w:rPr>
          <w:rFonts w:ascii="Arial" w:hAnsi="Arial" w:cs="Arial"/>
        </w:rPr>
        <w:t>b) estabelecer um cronograma de compromissos (empenhos) e de liberação (pagamento) dos recursos financeiros para o Governo;</w:t>
      </w:r>
    </w:p>
    <w:p w:rsidR="00AD2EA6" w:rsidRPr="00A70D77" w:rsidRDefault="00AD2EA6" w:rsidP="00AD2EA6">
      <w:pPr>
        <w:jc w:val="both"/>
        <w:rPr>
          <w:rFonts w:ascii="Arial" w:hAnsi="Arial" w:cs="Arial"/>
        </w:rPr>
      </w:pPr>
      <w:r w:rsidRPr="00A70D77">
        <w:rPr>
          <w:rFonts w:ascii="Arial" w:hAnsi="Arial" w:cs="Arial"/>
        </w:rPr>
        <w:t>c) cumprir a legislação orçamentária (LRF, LDO etc.); e</w:t>
      </w:r>
    </w:p>
    <w:p w:rsidR="00AD2EA6" w:rsidRPr="00A70D77" w:rsidRDefault="00AD2EA6" w:rsidP="00AD2EA6">
      <w:pPr>
        <w:jc w:val="both"/>
        <w:rPr>
          <w:rFonts w:ascii="Arial" w:hAnsi="Arial" w:cs="Arial"/>
        </w:rPr>
      </w:pPr>
      <w:r w:rsidRPr="00A70D77">
        <w:rPr>
          <w:rFonts w:ascii="Arial" w:hAnsi="Arial" w:cs="Arial"/>
        </w:rPr>
        <w:t>d) assegurar o equilíbrio entre receitas e despesas ao longo do exercício financeiro e proporcionar o cumprimento da meta de resultado primário.</w:t>
      </w:r>
    </w:p>
    <w:p w:rsidR="00AD2EA6" w:rsidRPr="00AD2EA6" w:rsidRDefault="00AD2EA6" w:rsidP="00AD2EA6">
      <w:pPr>
        <w:rPr>
          <w:b/>
          <w:i/>
          <w:sz w:val="20"/>
          <w:szCs w:val="20"/>
        </w:rPr>
      </w:pPr>
      <w:r w:rsidRPr="00AD2EA6">
        <w:rPr>
          <w:b/>
          <w:i/>
          <w:sz w:val="20"/>
          <w:szCs w:val="20"/>
        </w:rPr>
        <w:t>¹</w:t>
      </w:r>
      <w:r w:rsidRPr="00AD2EA6">
        <w:rPr>
          <w:i/>
          <w:sz w:val="20"/>
          <w:szCs w:val="20"/>
        </w:rPr>
        <w:t>Fonte: Manual Técnico do Orçamento 2014, disponível em http://www.orcamentofederal.gov.br/noticias/portugues/destaques/2013/mto-2014-ja-esta-disponivel-para-consulta-online</w:t>
      </w:r>
    </w:p>
    <w:p w:rsidR="00885560" w:rsidRDefault="00885560" w:rsidP="00885560">
      <w:pPr>
        <w:spacing w:before="120" w:after="0"/>
        <w:rPr>
          <w:rFonts w:ascii="Arial" w:hAnsi="Arial" w:cs="Arial"/>
          <w:sz w:val="20"/>
          <w:szCs w:val="20"/>
        </w:rPr>
      </w:pPr>
    </w:p>
    <w:p w:rsidR="00A70D77" w:rsidRDefault="00A70D77" w:rsidP="00A70D77">
      <w:pPr>
        <w:shd w:val="clear" w:color="auto" w:fill="EAEAEA"/>
        <w:spacing w:after="0"/>
        <w:jc w:val="center"/>
        <w:rPr>
          <w:rFonts w:ascii="Arial" w:hAnsi="Arial" w:cs="Arial"/>
          <w:sz w:val="20"/>
          <w:szCs w:val="20"/>
        </w:rPr>
      </w:pPr>
    </w:p>
    <w:p w:rsidR="00A70D77" w:rsidRPr="00AD2EA6" w:rsidRDefault="00A70D77" w:rsidP="00A70D77">
      <w:pPr>
        <w:shd w:val="clear" w:color="auto" w:fill="EAEAEA"/>
        <w:spacing w:after="0"/>
        <w:jc w:val="center"/>
        <w:rPr>
          <w:rFonts w:ascii="Arial" w:hAnsi="Arial" w:cs="Arial"/>
          <w:b/>
          <w:sz w:val="20"/>
          <w:szCs w:val="20"/>
        </w:rPr>
      </w:pPr>
      <w:bookmarkStart w:id="2" w:name="Programação"/>
      <w:r>
        <w:rPr>
          <w:rFonts w:ascii="Arial" w:hAnsi="Arial" w:cs="Arial"/>
          <w:b/>
          <w:sz w:val="20"/>
          <w:szCs w:val="20"/>
        </w:rPr>
        <w:t>PROGRAMAÇÃO FINANCEIRA</w:t>
      </w:r>
    </w:p>
    <w:bookmarkEnd w:id="2"/>
    <w:p w:rsidR="00A70D77" w:rsidRDefault="00A70D77" w:rsidP="00A70D77">
      <w:pPr>
        <w:shd w:val="clear" w:color="auto" w:fill="EAEAEA"/>
        <w:spacing w:after="0"/>
        <w:jc w:val="center"/>
        <w:rPr>
          <w:rFonts w:ascii="Arial" w:hAnsi="Arial" w:cs="Arial"/>
          <w:sz w:val="20"/>
          <w:szCs w:val="20"/>
        </w:rPr>
      </w:pPr>
    </w:p>
    <w:p w:rsidR="00A70D77" w:rsidRPr="006B28C5" w:rsidRDefault="00A70D77" w:rsidP="00885560">
      <w:pPr>
        <w:spacing w:before="120" w:after="0"/>
        <w:rPr>
          <w:rFonts w:ascii="Arial" w:hAnsi="Arial" w:cs="Arial"/>
          <w:sz w:val="20"/>
          <w:szCs w:val="20"/>
        </w:rPr>
      </w:pPr>
    </w:p>
    <w:p w:rsidR="00A70D77" w:rsidRPr="007057E6" w:rsidRDefault="00A70D77" w:rsidP="00A70D77">
      <w:pPr>
        <w:jc w:val="both"/>
        <w:rPr>
          <w:rFonts w:ascii="Arial" w:hAnsi="Arial" w:cs="Arial"/>
        </w:rPr>
      </w:pPr>
      <w:r w:rsidRPr="007057E6">
        <w:rPr>
          <w:rFonts w:ascii="Arial" w:hAnsi="Arial" w:cs="Arial"/>
        </w:rPr>
        <w:t xml:space="preserve">A Programação Financeira compreende um conjunto de atividades com o objetivo de ajustar o ritmo de execução do orçamento ao fluxo provável de recursos financeiros, assegurando a execução dos programas anuais de trabalho, realizados por meio do </w:t>
      </w:r>
      <w:r w:rsidR="006065E7">
        <w:rPr>
          <w:rFonts w:ascii="Arial" w:hAnsi="Arial" w:cs="Arial"/>
        </w:rPr>
        <w:t>Sistema Informatizado do Estado de SC</w:t>
      </w:r>
      <w:r w:rsidRPr="007057E6">
        <w:rPr>
          <w:rFonts w:ascii="Arial" w:hAnsi="Arial" w:cs="Arial"/>
        </w:rPr>
        <w:t>, com base nas diretrizes e regras estabel</w:t>
      </w:r>
      <w:r w:rsidR="006065E7">
        <w:rPr>
          <w:rFonts w:ascii="Arial" w:hAnsi="Arial" w:cs="Arial"/>
        </w:rPr>
        <w:t>ecidas pela legislação vigente.</w:t>
      </w:r>
    </w:p>
    <w:p w:rsidR="00F10664" w:rsidRDefault="006065E7" w:rsidP="00A70D77">
      <w:pPr>
        <w:jc w:val="both"/>
        <w:rPr>
          <w:rFonts w:ascii="Arial" w:hAnsi="Arial" w:cs="Arial"/>
        </w:rPr>
      </w:pPr>
      <w:r>
        <w:rPr>
          <w:rFonts w:ascii="Arial" w:hAnsi="Arial" w:cs="Arial"/>
        </w:rPr>
        <w:t>Logo após a sanção do G</w:t>
      </w:r>
      <w:r w:rsidR="00A70D77" w:rsidRPr="007057E6">
        <w:rPr>
          <w:rFonts w:ascii="Arial" w:hAnsi="Arial" w:cs="Arial"/>
        </w:rPr>
        <w:t xml:space="preserve">overnador à Lei Orçamentária aprovada </w:t>
      </w:r>
      <w:r>
        <w:rPr>
          <w:rFonts w:ascii="Arial" w:hAnsi="Arial" w:cs="Arial"/>
        </w:rPr>
        <w:t>pela Assembleia Legislativa</w:t>
      </w:r>
      <w:r w:rsidR="00A70D77" w:rsidRPr="007057E6">
        <w:rPr>
          <w:rFonts w:ascii="Arial" w:hAnsi="Arial" w:cs="Arial"/>
        </w:rPr>
        <w:t xml:space="preserve">, o Poder Executivo, mediante decreto, estabelece em até trinta dias a programação financeira e o cronograma de desembolso mensal por órgãos, </w:t>
      </w:r>
      <w:r w:rsidR="00F10664">
        <w:rPr>
          <w:rFonts w:ascii="Arial" w:hAnsi="Arial" w:cs="Arial"/>
        </w:rPr>
        <w:t>em consonância com os arts.8º e 9º da Lei Complementar Federal nº101 de 2000 (Lei de Responsabilidade Fiscal).</w:t>
      </w:r>
    </w:p>
    <w:p w:rsidR="00A70D77" w:rsidRPr="007057E6" w:rsidRDefault="00A70D77" w:rsidP="00A70D77">
      <w:pPr>
        <w:jc w:val="both"/>
        <w:rPr>
          <w:rFonts w:ascii="Arial" w:hAnsi="Arial" w:cs="Arial"/>
        </w:rPr>
      </w:pPr>
      <w:r w:rsidRPr="007057E6">
        <w:rPr>
          <w:rFonts w:ascii="Arial" w:hAnsi="Arial" w:cs="Arial"/>
        </w:rPr>
        <w:t>A programação financeira é o instrumento por meio do qual a Diretoria do Tesouro ajusta o orçamento dos órgãos do Estado à efetiva disponibilidade de recursos financeiros.</w:t>
      </w:r>
    </w:p>
    <w:p w:rsidR="00A70D77" w:rsidRPr="007057E6" w:rsidRDefault="00A70D77" w:rsidP="00A70D77">
      <w:pPr>
        <w:jc w:val="both"/>
        <w:rPr>
          <w:rFonts w:ascii="Arial" w:hAnsi="Arial" w:cs="Arial"/>
        </w:rPr>
      </w:pPr>
      <w:r w:rsidRPr="007057E6">
        <w:rPr>
          <w:rFonts w:ascii="Arial" w:hAnsi="Arial" w:cs="Arial"/>
        </w:rPr>
        <w:t xml:space="preserve">Compete, portanto, à Diretoria do Tesouro Estadual estabelecer as diretrizes para a elaboração e formulação da programação financeira mensal e anual, bem como a adoção dos procedimentos necessários a sua execução. </w:t>
      </w:r>
    </w:p>
    <w:p w:rsidR="00A70D77" w:rsidRPr="007057E6" w:rsidRDefault="00A70D77" w:rsidP="00A70D77">
      <w:pPr>
        <w:jc w:val="both"/>
        <w:rPr>
          <w:rFonts w:ascii="Arial" w:hAnsi="Arial" w:cs="Arial"/>
        </w:rPr>
      </w:pPr>
      <w:r w:rsidRPr="007057E6">
        <w:rPr>
          <w:rFonts w:ascii="Arial" w:hAnsi="Arial" w:cs="Arial"/>
        </w:rPr>
        <w:t>É baseada na distribuição de cotas de programação financeira que limitam a emissão de empenhos e pré-empenhos, podendo ser tomados como base o valor total das dotações orçamentárias da despesa, mas não limitado à previsão do orçamento. A cota é uma parte da dotação destinada a limitar o montante a ser empenhado mensalmente, adequando os gastos ao ingresso da receita estadual.</w:t>
      </w:r>
    </w:p>
    <w:p w:rsidR="00A70D77" w:rsidRPr="007057E6" w:rsidRDefault="00A70D77" w:rsidP="00A70D77">
      <w:pPr>
        <w:jc w:val="both"/>
        <w:rPr>
          <w:rFonts w:ascii="Arial" w:hAnsi="Arial" w:cs="Arial"/>
        </w:rPr>
      </w:pPr>
      <w:r w:rsidRPr="007057E6">
        <w:rPr>
          <w:rFonts w:ascii="Arial" w:hAnsi="Arial" w:cs="Arial"/>
        </w:rPr>
        <w:t>O processo de execução financeira d</w:t>
      </w:r>
      <w:r w:rsidR="001A73F9">
        <w:rPr>
          <w:rFonts w:ascii="Arial" w:hAnsi="Arial" w:cs="Arial"/>
        </w:rPr>
        <w:t>as despesas do Estado pode ser exemplificado</w:t>
      </w:r>
      <w:r w:rsidRPr="007057E6">
        <w:rPr>
          <w:rFonts w:ascii="Arial" w:hAnsi="Arial" w:cs="Arial"/>
        </w:rPr>
        <w:t xml:space="preserve"> no fluxograma a seguir:</w:t>
      </w:r>
    </w:p>
    <w:p w:rsidR="008A2A93" w:rsidRDefault="008A2A93" w:rsidP="006B28C5">
      <w:pPr>
        <w:spacing w:before="120" w:after="0"/>
        <w:rPr>
          <w:rFonts w:ascii="Arial" w:hAnsi="Arial" w:cs="Arial"/>
          <w:sz w:val="20"/>
          <w:szCs w:val="20"/>
        </w:rPr>
      </w:pPr>
    </w:p>
    <w:p w:rsidR="008A2A93" w:rsidRDefault="008A2A93">
      <w:pPr>
        <w:rPr>
          <w:rFonts w:ascii="Arial" w:hAnsi="Arial" w:cs="Arial"/>
          <w:sz w:val="20"/>
          <w:szCs w:val="20"/>
        </w:rPr>
      </w:pPr>
      <w:r>
        <w:rPr>
          <w:rFonts w:ascii="Arial" w:hAnsi="Arial" w:cs="Arial"/>
          <w:sz w:val="20"/>
          <w:szCs w:val="20"/>
        </w:rPr>
        <w:br w:type="page"/>
      </w:r>
    </w:p>
    <w:p w:rsidR="00550712" w:rsidRDefault="008A2A93" w:rsidP="006B28C5">
      <w:pPr>
        <w:spacing w:before="120" w:after="0"/>
        <w:rPr>
          <w:rFonts w:ascii="Arial" w:hAnsi="Arial" w:cs="Arial"/>
          <w:sz w:val="20"/>
          <w:szCs w:val="20"/>
        </w:rPr>
      </w:pPr>
      <w:r w:rsidRPr="008A2A93">
        <w:rPr>
          <w:rFonts w:ascii="Arial" w:hAnsi="Arial" w:cs="Arial"/>
          <w:noProof/>
          <w:sz w:val="20"/>
          <w:szCs w:val="20"/>
        </w:rPr>
        <w:lastRenderedPageBreak/>
        <w:drawing>
          <wp:inline distT="0" distB="0" distL="0" distR="0">
            <wp:extent cx="9769842" cy="4071487"/>
            <wp:effectExtent l="0" t="0" r="22225" b="5715"/>
            <wp:docPr id="1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50712" w:rsidRDefault="00550712">
      <w:pPr>
        <w:rPr>
          <w:rFonts w:ascii="Arial" w:hAnsi="Arial" w:cs="Arial"/>
          <w:sz w:val="20"/>
          <w:szCs w:val="20"/>
        </w:rPr>
      </w:pPr>
      <w:r>
        <w:rPr>
          <w:rFonts w:ascii="Arial" w:hAnsi="Arial" w:cs="Arial"/>
          <w:sz w:val="20"/>
          <w:szCs w:val="20"/>
        </w:rPr>
        <w:br w:type="page"/>
      </w:r>
    </w:p>
    <w:p w:rsidR="00550712" w:rsidRDefault="00550712" w:rsidP="00550712">
      <w:pPr>
        <w:spacing w:before="120" w:after="0"/>
        <w:rPr>
          <w:rFonts w:ascii="Arial" w:hAnsi="Arial" w:cs="Arial"/>
          <w:sz w:val="20"/>
          <w:szCs w:val="20"/>
        </w:rPr>
      </w:pPr>
    </w:p>
    <w:p w:rsidR="00550712" w:rsidRDefault="00550712" w:rsidP="00550712">
      <w:pPr>
        <w:shd w:val="clear" w:color="auto" w:fill="EAEAEA"/>
        <w:spacing w:after="0"/>
        <w:jc w:val="center"/>
        <w:rPr>
          <w:rFonts w:ascii="Arial" w:hAnsi="Arial" w:cs="Arial"/>
          <w:sz w:val="20"/>
          <w:szCs w:val="20"/>
        </w:rPr>
      </w:pPr>
    </w:p>
    <w:p w:rsidR="00550712" w:rsidRPr="00AD2EA6" w:rsidRDefault="00550712" w:rsidP="00550712">
      <w:pPr>
        <w:shd w:val="clear" w:color="auto" w:fill="EAEAEA"/>
        <w:spacing w:after="0"/>
        <w:jc w:val="center"/>
        <w:rPr>
          <w:rFonts w:ascii="Arial" w:hAnsi="Arial" w:cs="Arial"/>
          <w:b/>
          <w:sz w:val="20"/>
          <w:szCs w:val="20"/>
        </w:rPr>
      </w:pPr>
      <w:bookmarkStart w:id="3" w:name="Decreto"/>
      <w:r>
        <w:rPr>
          <w:rFonts w:ascii="Arial" w:hAnsi="Arial" w:cs="Arial"/>
          <w:b/>
          <w:sz w:val="20"/>
          <w:szCs w:val="20"/>
        </w:rPr>
        <w:t>DECRETO DE PROGRAMAÇÃO FINANCEIRA</w:t>
      </w:r>
    </w:p>
    <w:bookmarkEnd w:id="3"/>
    <w:p w:rsidR="00550712" w:rsidRDefault="00550712" w:rsidP="00550712">
      <w:pPr>
        <w:shd w:val="clear" w:color="auto" w:fill="EAEAEA"/>
        <w:spacing w:after="0"/>
        <w:jc w:val="center"/>
        <w:rPr>
          <w:rFonts w:ascii="Arial" w:hAnsi="Arial" w:cs="Arial"/>
          <w:sz w:val="20"/>
          <w:szCs w:val="20"/>
        </w:rPr>
      </w:pPr>
    </w:p>
    <w:p w:rsidR="00550712" w:rsidRPr="006B28C5" w:rsidRDefault="00550712" w:rsidP="00550712">
      <w:pPr>
        <w:spacing w:before="120" w:after="0"/>
        <w:rPr>
          <w:rFonts w:ascii="Arial" w:hAnsi="Arial" w:cs="Arial"/>
          <w:sz w:val="20"/>
          <w:szCs w:val="20"/>
        </w:rPr>
      </w:pPr>
    </w:p>
    <w:p w:rsidR="00A357FB" w:rsidRDefault="00550712">
      <w:pPr>
        <w:rPr>
          <w:rFonts w:ascii="Arial" w:hAnsi="Arial" w:cs="Arial"/>
        </w:rPr>
      </w:pPr>
      <w:r w:rsidRPr="00550712">
        <w:rPr>
          <w:rFonts w:ascii="Arial" w:hAnsi="Arial" w:cs="Arial"/>
        </w:rPr>
        <w:t>No início de cada exercício financeiro são liberadas cotas iniciais para que os órgãos empenhem suas despesas para o ano. Essa</w:t>
      </w:r>
      <w:r w:rsidR="00A3694D">
        <w:rPr>
          <w:rFonts w:ascii="Arial" w:hAnsi="Arial" w:cs="Arial"/>
        </w:rPr>
        <w:t xml:space="preserve"> programação financeira inicial </w:t>
      </w:r>
      <w:r w:rsidRPr="00550712">
        <w:rPr>
          <w:rFonts w:ascii="Arial" w:hAnsi="Arial" w:cs="Arial"/>
        </w:rPr>
        <w:t>é publicada no Decreto de Programação Financeira</w:t>
      </w:r>
      <w:r w:rsidR="00A3694D">
        <w:rPr>
          <w:rFonts w:ascii="Arial" w:hAnsi="Arial" w:cs="Arial"/>
        </w:rPr>
        <w:t xml:space="preserve"> (</w:t>
      </w:r>
      <w:r w:rsidR="00A3694D" w:rsidRPr="00A3694D">
        <w:rPr>
          <w:rFonts w:ascii="Arial" w:hAnsi="Arial" w:cs="Arial"/>
        </w:rPr>
        <w:t>https://www.sef.sc.gov.br/arquivos_portal/legislacoes/930/Decreto_013_merged.pdf</w:t>
      </w:r>
      <w:r w:rsidR="00A3694D">
        <w:rPr>
          <w:rFonts w:ascii="Arial" w:hAnsi="Arial" w:cs="Arial"/>
        </w:rPr>
        <w:t>)</w:t>
      </w:r>
      <w:r w:rsidRPr="00550712">
        <w:rPr>
          <w:rFonts w:ascii="Arial" w:hAnsi="Arial" w:cs="Arial"/>
        </w:rPr>
        <w:t>, que estabelece o cronograma de execução mensal de desembolso de recursos estaduais para o ano. Conforme a evolução da receita pode ocorrer o incremento/</w:t>
      </w:r>
      <w:r w:rsidR="00A3694D" w:rsidRPr="00550712">
        <w:rPr>
          <w:rFonts w:ascii="Arial" w:hAnsi="Arial" w:cs="Arial"/>
        </w:rPr>
        <w:t>contingenciamento</w:t>
      </w:r>
      <w:r w:rsidRPr="00550712">
        <w:rPr>
          <w:rFonts w:ascii="Arial" w:hAnsi="Arial" w:cs="Arial"/>
        </w:rPr>
        <w:t xml:space="preserve"> da programação financeira dos órgãos do Estado ao longo do ano</w:t>
      </w:r>
      <w:r w:rsidR="00A3694D">
        <w:rPr>
          <w:rFonts w:ascii="Arial" w:hAnsi="Arial" w:cs="Arial"/>
        </w:rPr>
        <w:t>.</w:t>
      </w: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694D" w:rsidRDefault="00A3694D">
      <w:pPr>
        <w:rPr>
          <w:rFonts w:ascii="Arial" w:hAnsi="Arial" w:cs="Arial"/>
        </w:rPr>
      </w:pPr>
    </w:p>
    <w:p w:rsidR="00A357FB" w:rsidRDefault="00A357FB" w:rsidP="00A357FB">
      <w:pPr>
        <w:shd w:val="clear" w:color="auto" w:fill="EAEAEA"/>
        <w:spacing w:after="0"/>
        <w:jc w:val="center"/>
        <w:rPr>
          <w:rFonts w:ascii="Arial" w:hAnsi="Arial" w:cs="Arial"/>
          <w:sz w:val="20"/>
          <w:szCs w:val="20"/>
        </w:rPr>
      </w:pPr>
    </w:p>
    <w:p w:rsidR="00A357FB" w:rsidRPr="00AD2EA6" w:rsidRDefault="00A357FB" w:rsidP="00A357FB">
      <w:pPr>
        <w:shd w:val="clear" w:color="auto" w:fill="EAEAEA"/>
        <w:spacing w:after="0"/>
        <w:jc w:val="center"/>
        <w:rPr>
          <w:rFonts w:ascii="Arial" w:hAnsi="Arial" w:cs="Arial"/>
          <w:b/>
          <w:sz w:val="20"/>
          <w:szCs w:val="20"/>
        </w:rPr>
      </w:pPr>
      <w:bookmarkStart w:id="4" w:name="Relatório"/>
      <w:r>
        <w:rPr>
          <w:rFonts w:ascii="Arial" w:hAnsi="Arial" w:cs="Arial"/>
          <w:b/>
          <w:sz w:val="20"/>
          <w:szCs w:val="20"/>
        </w:rPr>
        <w:t>RELATÓRIO DA PROGRAMAÇÃO FINANCEIRA</w:t>
      </w:r>
    </w:p>
    <w:bookmarkEnd w:id="4"/>
    <w:p w:rsidR="00A357FB" w:rsidRDefault="00A357FB" w:rsidP="00A357FB">
      <w:pPr>
        <w:shd w:val="clear" w:color="auto" w:fill="EAEAEA"/>
        <w:spacing w:after="0"/>
        <w:jc w:val="center"/>
        <w:rPr>
          <w:rFonts w:ascii="Arial" w:hAnsi="Arial" w:cs="Arial"/>
          <w:sz w:val="20"/>
          <w:szCs w:val="20"/>
        </w:rPr>
      </w:pPr>
    </w:p>
    <w:p w:rsidR="00A357FB" w:rsidRDefault="00A357FB" w:rsidP="00A357FB">
      <w:pPr>
        <w:spacing w:before="120" w:after="0"/>
        <w:rPr>
          <w:rFonts w:ascii="Arial" w:hAnsi="Arial" w:cs="Arial"/>
          <w:sz w:val="20"/>
          <w:szCs w:val="20"/>
        </w:rPr>
      </w:pPr>
    </w:p>
    <w:p w:rsidR="00464B83" w:rsidRDefault="00A357FB" w:rsidP="00464B83">
      <w:pPr>
        <w:spacing w:before="120" w:after="0"/>
        <w:jc w:val="both"/>
        <w:rPr>
          <w:rFonts w:ascii="Arial" w:hAnsi="Arial" w:cs="Arial"/>
        </w:rPr>
      </w:pPr>
      <w:r w:rsidRPr="00A357FB">
        <w:rPr>
          <w:rFonts w:ascii="Arial" w:hAnsi="Arial" w:cs="Arial"/>
        </w:rPr>
        <w:t>O relatório da programação financeira permite que os órgãos consultem a programação financeira autorizada pelo Tesouro, os valores já empenhados e o saldo que possuem disponível para empenho mês a mês. Também permite a visualização das cotas recebidas por desc</w:t>
      </w:r>
      <w:r>
        <w:rPr>
          <w:rFonts w:ascii="Arial" w:hAnsi="Arial" w:cs="Arial"/>
        </w:rPr>
        <w:t>entralização de outros órgãos.</w:t>
      </w:r>
    </w:p>
    <w:p w:rsidR="00460438" w:rsidRDefault="00460438" w:rsidP="00A357FB">
      <w:pPr>
        <w:spacing w:before="120" w:after="0"/>
        <w:jc w:val="both"/>
        <w:rPr>
          <w:rFonts w:ascii="Arial" w:hAnsi="Arial" w:cs="Arial"/>
        </w:rPr>
      </w:pPr>
    </w:p>
    <w:p w:rsidR="00A357FB" w:rsidRPr="00A357FB" w:rsidRDefault="00A357FB" w:rsidP="00A357FB">
      <w:pPr>
        <w:spacing w:before="120" w:after="0"/>
        <w:jc w:val="both"/>
        <w:rPr>
          <w:rFonts w:ascii="Arial" w:hAnsi="Arial" w:cs="Arial"/>
        </w:rPr>
      </w:pPr>
      <w:r w:rsidRPr="00A357FB">
        <w:rPr>
          <w:rFonts w:ascii="Arial" w:hAnsi="Arial" w:cs="Arial"/>
        </w:rPr>
        <w:t>Este relatório pode ser gerado no SIGEF através dos seguintes passos:</w:t>
      </w: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460438" w:rsidRDefault="00460438" w:rsidP="00A357FB">
      <w:pPr>
        <w:spacing w:before="120" w:after="0"/>
        <w:jc w:val="both"/>
        <w:rPr>
          <w:rFonts w:ascii="Arial" w:hAnsi="Arial" w:cs="Arial"/>
        </w:rPr>
      </w:pPr>
    </w:p>
    <w:p w:rsidR="00A357FB" w:rsidRDefault="00A357FB" w:rsidP="00A357FB">
      <w:pPr>
        <w:spacing w:before="120" w:after="0"/>
        <w:jc w:val="both"/>
        <w:rPr>
          <w:rFonts w:ascii="Arial" w:hAnsi="Arial" w:cs="Arial"/>
        </w:rPr>
      </w:pPr>
      <w:r w:rsidRPr="00A357FB">
        <w:rPr>
          <w:rFonts w:ascii="Arial" w:hAnsi="Arial" w:cs="Arial"/>
        </w:rPr>
        <w:lastRenderedPageBreak/>
        <w:t>1.</w:t>
      </w:r>
      <w:r w:rsidRPr="00A357FB">
        <w:rPr>
          <w:rFonts w:ascii="Arial" w:hAnsi="Arial" w:cs="Arial"/>
        </w:rPr>
        <w:tab/>
        <w:t xml:space="preserve">Selecionar a funcionalidade </w:t>
      </w:r>
      <w:r w:rsidRPr="00623949">
        <w:rPr>
          <w:rFonts w:ascii="Arial" w:hAnsi="Arial" w:cs="Arial"/>
          <w:b/>
        </w:rPr>
        <w:t>Relatório Programação Financeira</w:t>
      </w:r>
      <w:r w:rsidRPr="00A357FB">
        <w:rPr>
          <w:rFonts w:ascii="Arial" w:hAnsi="Arial" w:cs="Arial"/>
        </w:rPr>
        <w:t xml:space="preserve"> no </w:t>
      </w:r>
      <w:r w:rsidRPr="00623949">
        <w:rPr>
          <w:rFonts w:ascii="Arial" w:hAnsi="Arial" w:cs="Arial"/>
          <w:b/>
        </w:rPr>
        <w:t>Módulo FIN-PGF-Prog Financeira</w:t>
      </w:r>
    </w:p>
    <w:p w:rsidR="007C46EA" w:rsidRDefault="00A3694D" w:rsidP="00460438">
      <w:pPr>
        <w:spacing w:before="120" w:after="0"/>
        <w:jc w:val="center"/>
        <w:rPr>
          <w:rFonts w:ascii="Arial" w:hAnsi="Arial" w:cs="Arial"/>
        </w:rPr>
      </w:pPr>
      <w:r>
        <w:rPr>
          <w:noProof/>
        </w:rPr>
        <w:drawing>
          <wp:inline distT="0" distB="0" distL="0" distR="0" wp14:anchorId="3255A1AF" wp14:editId="3B41C89F">
            <wp:extent cx="9828530" cy="4859020"/>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28530" cy="4859020"/>
                    </a:xfrm>
                    <a:prstGeom prst="rect">
                      <a:avLst/>
                    </a:prstGeom>
                  </pic:spPr>
                </pic:pic>
              </a:graphicData>
            </a:graphic>
          </wp:inline>
        </w:drawing>
      </w:r>
    </w:p>
    <w:p w:rsidR="007C46EA" w:rsidRPr="007C46EA" w:rsidRDefault="007C46EA" w:rsidP="00D94CA0">
      <w:pPr>
        <w:rPr>
          <w:rFonts w:ascii="Arial" w:hAnsi="Arial" w:cs="Arial"/>
        </w:rPr>
      </w:pPr>
      <w:r>
        <w:rPr>
          <w:rFonts w:ascii="Arial" w:hAnsi="Arial" w:cs="Arial"/>
        </w:rPr>
        <w:br w:type="page"/>
      </w:r>
      <w:r w:rsidRPr="007C46EA">
        <w:rPr>
          <w:rFonts w:ascii="Arial" w:hAnsi="Arial" w:cs="Arial"/>
        </w:rPr>
        <w:lastRenderedPageBreak/>
        <w:t>2.</w:t>
      </w:r>
      <w:r w:rsidRPr="007C46EA">
        <w:rPr>
          <w:rFonts w:ascii="Arial" w:hAnsi="Arial" w:cs="Arial"/>
        </w:rPr>
        <w:tab/>
        <w:t xml:space="preserve">Preencher os </w:t>
      </w:r>
      <w:r w:rsidRPr="007C46EA">
        <w:rPr>
          <w:rFonts w:ascii="Arial" w:hAnsi="Arial" w:cs="Arial"/>
          <w:b/>
        </w:rPr>
        <w:t>campos Unidade Gestora/Gestão, Grupo Programação Financeira</w:t>
      </w:r>
      <w:r w:rsidRPr="007C46EA">
        <w:rPr>
          <w:rFonts w:ascii="Arial" w:hAnsi="Arial" w:cs="Arial"/>
        </w:rPr>
        <w:t xml:space="preserve"> (pode ser deixado em branco caso queira visualizar todos) e </w:t>
      </w:r>
      <w:r w:rsidRPr="007C46EA">
        <w:rPr>
          <w:rFonts w:ascii="Arial" w:hAnsi="Arial" w:cs="Arial"/>
          <w:b/>
        </w:rPr>
        <w:t>Fonte Recurso</w:t>
      </w:r>
      <w:r w:rsidRPr="007C46EA">
        <w:rPr>
          <w:rFonts w:ascii="Arial" w:hAnsi="Arial" w:cs="Arial"/>
        </w:rPr>
        <w:t xml:space="preserve"> (pode ser deixado em branco caso queira visualizar todos).</w:t>
      </w:r>
    </w:p>
    <w:p w:rsidR="00460438" w:rsidRDefault="007C46EA" w:rsidP="007C46EA">
      <w:pPr>
        <w:spacing w:before="120" w:after="0"/>
        <w:jc w:val="both"/>
        <w:rPr>
          <w:rFonts w:ascii="Arial" w:hAnsi="Arial" w:cs="Arial"/>
          <w:b/>
        </w:rPr>
      </w:pPr>
      <w:r w:rsidRPr="007C46EA">
        <w:rPr>
          <w:rFonts w:ascii="Arial" w:hAnsi="Arial" w:cs="Arial"/>
        </w:rPr>
        <w:t>3.</w:t>
      </w:r>
      <w:r w:rsidRPr="007C46EA">
        <w:rPr>
          <w:rFonts w:ascii="Arial" w:hAnsi="Arial" w:cs="Arial"/>
        </w:rPr>
        <w:tab/>
        <w:t xml:space="preserve">No campo </w:t>
      </w:r>
      <w:r w:rsidRPr="007C46EA">
        <w:rPr>
          <w:rFonts w:ascii="Arial" w:hAnsi="Arial" w:cs="Arial"/>
          <w:b/>
        </w:rPr>
        <w:t>tipo</w:t>
      </w:r>
      <w:r w:rsidRPr="007C46EA">
        <w:rPr>
          <w:rFonts w:ascii="Arial" w:hAnsi="Arial" w:cs="Arial"/>
        </w:rPr>
        <w:t xml:space="preserve"> sugerimos colocar </w:t>
      </w:r>
      <w:r w:rsidRPr="007C46EA">
        <w:rPr>
          <w:rFonts w:ascii="Arial" w:hAnsi="Arial" w:cs="Arial"/>
          <w:b/>
        </w:rPr>
        <w:t>Comparativo Cota Financeira/Cota empenhada.</w:t>
      </w:r>
    </w:p>
    <w:p w:rsidR="00F97F8B" w:rsidRDefault="00910823" w:rsidP="00652BFF">
      <w:pPr>
        <w:spacing w:before="120" w:after="0"/>
        <w:jc w:val="center"/>
        <w:rPr>
          <w:rFonts w:ascii="Arial" w:hAnsi="Arial" w:cs="Arial"/>
        </w:rPr>
      </w:pPr>
      <w:r>
        <w:rPr>
          <w:noProof/>
        </w:rPr>
        <w:drawing>
          <wp:inline distT="0" distB="0" distL="0" distR="0" wp14:anchorId="7D7997CD" wp14:editId="7A182FD4">
            <wp:extent cx="6746240" cy="4395211"/>
            <wp:effectExtent l="0" t="0" r="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1039" cy="4411367"/>
                    </a:xfrm>
                    <a:prstGeom prst="rect">
                      <a:avLst/>
                    </a:prstGeom>
                  </pic:spPr>
                </pic:pic>
              </a:graphicData>
            </a:graphic>
          </wp:inline>
        </w:drawing>
      </w:r>
    </w:p>
    <w:p w:rsidR="00F97F8B" w:rsidRDefault="00F97F8B">
      <w:pPr>
        <w:rPr>
          <w:rFonts w:ascii="Arial" w:hAnsi="Arial" w:cs="Arial"/>
        </w:rPr>
      </w:pPr>
      <w:r>
        <w:rPr>
          <w:rFonts w:ascii="Arial" w:hAnsi="Arial" w:cs="Arial"/>
        </w:rPr>
        <w:br w:type="page"/>
      </w:r>
    </w:p>
    <w:p w:rsidR="00652BFF" w:rsidRDefault="00F97F8B" w:rsidP="00F97F8B">
      <w:pPr>
        <w:spacing w:before="120" w:after="0"/>
        <w:jc w:val="both"/>
        <w:rPr>
          <w:rFonts w:ascii="Arial" w:hAnsi="Arial" w:cs="Arial"/>
        </w:rPr>
      </w:pPr>
      <w:r w:rsidRPr="00F97F8B">
        <w:rPr>
          <w:rFonts w:ascii="Arial" w:hAnsi="Arial" w:cs="Arial"/>
        </w:rPr>
        <w:lastRenderedPageBreak/>
        <w:t>4.</w:t>
      </w:r>
      <w:r w:rsidRPr="00F97F8B">
        <w:rPr>
          <w:rFonts w:ascii="Arial" w:hAnsi="Arial" w:cs="Arial"/>
        </w:rPr>
        <w:tab/>
        <w:t>No campo agrupamento preencher de acordo com o grau de detalhamento desejado. No nosso exemplo vamos preencher Nível 01: Unidade Gestora; Nível 02: Fonte de Recurso; Nível 03: Grupo Programação. Parte do relatório gerado é mostrado a seguir.</w:t>
      </w:r>
    </w:p>
    <w:p w:rsidR="004B5A04" w:rsidRDefault="00F97F8B" w:rsidP="00F97F8B">
      <w:pPr>
        <w:spacing w:before="120" w:after="0"/>
        <w:jc w:val="center"/>
        <w:rPr>
          <w:rFonts w:ascii="Arial" w:hAnsi="Arial" w:cs="Arial"/>
        </w:rPr>
      </w:pPr>
      <w:r w:rsidRPr="00F97F8B">
        <w:rPr>
          <w:rFonts w:ascii="Arial" w:hAnsi="Arial" w:cs="Arial"/>
          <w:noProof/>
        </w:rPr>
        <w:drawing>
          <wp:inline distT="0" distB="0" distL="0" distR="0">
            <wp:extent cx="5391150" cy="4667250"/>
            <wp:effectExtent l="19050" t="0" r="0" b="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91150" cy="4667250"/>
                    </a:xfrm>
                    <a:prstGeom prst="rect">
                      <a:avLst/>
                    </a:prstGeom>
                    <a:noFill/>
                    <a:ln w="9525">
                      <a:noFill/>
                      <a:miter lim="800000"/>
                      <a:headEnd/>
                      <a:tailEnd/>
                    </a:ln>
                  </pic:spPr>
                </pic:pic>
              </a:graphicData>
            </a:graphic>
          </wp:inline>
        </w:drawing>
      </w:r>
    </w:p>
    <w:p w:rsidR="004B5A04" w:rsidRDefault="004B5A04">
      <w:pPr>
        <w:rPr>
          <w:rFonts w:ascii="Arial" w:hAnsi="Arial" w:cs="Arial"/>
        </w:rPr>
      </w:pPr>
      <w:r>
        <w:rPr>
          <w:rFonts w:ascii="Arial" w:hAnsi="Arial" w:cs="Arial"/>
        </w:rPr>
        <w:br w:type="page"/>
      </w:r>
    </w:p>
    <w:p w:rsidR="004153B9" w:rsidRDefault="004153B9" w:rsidP="004B5A04">
      <w:pPr>
        <w:spacing w:before="120" w:after="0"/>
        <w:jc w:val="both"/>
        <w:rPr>
          <w:rFonts w:ascii="Arial" w:hAnsi="Arial" w:cs="Arial"/>
        </w:rPr>
      </w:pPr>
    </w:p>
    <w:p w:rsidR="004B5A04" w:rsidRPr="004B5A04" w:rsidRDefault="004153B9" w:rsidP="004B5A04">
      <w:pPr>
        <w:spacing w:before="120" w:after="0"/>
        <w:jc w:val="both"/>
        <w:rPr>
          <w:rFonts w:ascii="Arial" w:hAnsi="Arial" w:cs="Arial"/>
        </w:rPr>
      </w:pPr>
      <w:r>
        <w:rPr>
          <w:rFonts w:ascii="Arial" w:hAnsi="Arial" w:cs="Arial"/>
        </w:rPr>
        <w:t>No exemplo acima</w:t>
      </w:r>
      <w:r w:rsidR="004B5A04" w:rsidRPr="004B5A04">
        <w:rPr>
          <w:rFonts w:ascii="Arial" w:hAnsi="Arial" w:cs="Arial"/>
        </w:rPr>
        <w:t xml:space="preserve"> mostramos a programação financeira da UG 520001, na Fonte 0.1.00 e foi detalhada a programação financeira para cada um dos grupos de programação. </w:t>
      </w:r>
    </w:p>
    <w:p w:rsidR="004B5A04" w:rsidRPr="004B5A04" w:rsidRDefault="004B5A04" w:rsidP="004B5A04">
      <w:pPr>
        <w:spacing w:before="120" w:after="0"/>
        <w:jc w:val="both"/>
        <w:rPr>
          <w:rFonts w:ascii="Arial" w:hAnsi="Arial" w:cs="Arial"/>
        </w:rPr>
      </w:pPr>
      <w:r w:rsidRPr="004B5A04">
        <w:rPr>
          <w:rFonts w:ascii="Arial" w:hAnsi="Arial" w:cs="Arial"/>
        </w:rPr>
        <w:t>No relatório com o cronograma mensal, a linha AN indica a programação financeira liberada pelo Tesouro para o órgão. A linha EN indica o quanto que o órgão empenhou e a linha DN mostra a diferença (o saldo que o órgão possui disponível para empenho).</w:t>
      </w:r>
    </w:p>
    <w:p w:rsidR="004B5A04" w:rsidRPr="004B5A04" w:rsidRDefault="004B5A04" w:rsidP="004B5A04">
      <w:pPr>
        <w:spacing w:before="120" w:after="0"/>
        <w:jc w:val="both"/>
        <w:rPr>
          <w:rFonts w:ascii="Arial" w:hAnsi="Arial" w:cs="Arial"/>
        </w:rPr>
      </w:pPr>
      <w:r w:rsidRPr="004B5A04">
        <w:rPr>
          <w:rFonts w:ascii="Arial" w:hAnsi="Arial" w:cs="Arial"/>
        </w:rPr>
        <w:t>Na sequência temos a linha AD que indica os valores recebidos por descentralização de outros órgãos. ED indica o quanto do valor recebido por descentralização já foi empenhado e DD é a diferença (o valor recebido por descentralização ainda disponível para empenho).</w:t>
      </w:r>
    </w:p>
    <w:p w:rsidR="00F97F8B" w:rsidRDefault="004B5A04" w:rsidP="004B5A04">
      <w:pPr>
        <w:spacing w:before="120" w:after="0"/>
        <w:jc w:val="both"/>
        <w:rPr>
          <w:rFonts w:ascii="Arial" w:hAnsi="Arial" w:cs="Arial"/>
        </w:rPr>
      </w:pPr>
      <w:r w:rsidRPr="004B5A04">
        <w:rPr>
          <w:rFonts w:ascii="Arial" w:hAnsi="Arial" w:cs="Arial"/>
        </w:rPr>
        <w:t>Já os campos TA, TE e TD representam a soma dos valores de programação autorizados pelo Tesouro + as cotas recebidas por descentralização de outros órgãos.</w:t>
      </w:r>
    </w:p>
    <w:p w:rsidR="00814013" w:rsidRDefault="00814013" w:rsidP="004B5A04">
      <w:pPr>
        <w:spacing w:before="120" w:after="0"/>
        <w:jc w:val="both"/>
        <w:rPr>
          <w:rFonts w:ascii="Arial" w:hAnsi="Arial" w:cs="Arial"/>
        </w:rPr>
      </w:pPr>
    </w:p>
    <w:p w:rsidR="00B36E61" w:rsidRDefault="00B36E61" w:rsidP="004B5A04">
      <w:pPr>
        <w:spacing w:before="120" w:after="0"/>
        <w:jc w:val="both"/>
        <w:rPr>
          <w:rFonts w:ascii="Arial" w:hAnsi="Arial" w:cs="Arial"/>
        </w:rPr>
      </w:pPr>
    </w:p>
    <w:p w:rsidR="00B36E61" w:rsidRDefault="00B36E61">
      <w:pPr>
        <w:rPr>
          <w:rFonts w:ascii="Arial" w:hAnsi="Arial" w:cs="Arial"/>
        </w:rPr>
      </w:pPr>
      <w:r>
        <w:rPr>
          <w:rFonts w:ascii="Arial" w:hAnsi="Arial" w:cs="Arial"/>
        </w:rPr>
        <w:br w:type="page"/>
      </w:r>
    </w:p>
    <w:p w:rsidR="00B36E61" w:rsidRDefault="00B36E61" w:rsidP="00B36E61">
      <w:pPr>
        <w:spacing w:before="120" w:after="0"/>
        <w:rPr>
          <w:rFonts w:ascii="Arial" w:hAnsi="Arial" w:cs="Arial"/>
          <w:sz w:val="20"/>
          <w:szCs w:val="20"/>
        </w:rPr>
      </w:pPr>
    </w:p>
    <w:p w:rsidR="00B36E61" w:rsidRDefault="00B36E61" w:rsidP="00B36E61">
      <w:pPr>
        <w:shd w:val="clear" w:color="auto" w:fill="EAEAEA"/>
        <w:spacing w:after="0"/>
        <w:jc w:val="center"/>
        <w:rPr>
          <w:rFonts w:ascii="Arial" w:hAnsi="Arial" w:cs="Arial"/>
          <w:sz w:val="20"/>
          <w:szCs w:val="20"/>
        </w:rPr>
      </w:pPr>
    </w:p>
    <w:p w:rsidR="00B36E61" w:rsidRPr="00AD2EA6" w:rsidRDefault="00B36E61" w:rsidP="00B36E61">
      <w:pPr>
        <w:shd w:val="clear" w:color="auto" w:fill="EAEAEA"/>
        <w:spacing w:after="0"/>
        <w:jc w:val="center"/>
        <w:rPr>
          <w:rFonts w:ascii="Arial" w:hAnsi="Arial" w:cs="Arial"/>
          <w:b/>
          <w:sz w:val="20"/>
          <w:szCs w:val="20"/>
        </w:rPr>
      </w:pPr>
      <w:bookmarkStart w:id="5" w:name="Grupos"/>
      <w:r>
        <w:rPr>
          <w:rFonts w:ascii="Arial" w:hAnsi="Arial" w:cs="Arial"/>
          <w:b/>
          <w:sz w:val="20"/>
          <w:szCs w:val="20"/>
        </w:rPr>
        <w:t>GRUPOS DA PROGRAMAÇÃO FINANCEIRA</w:t>
      </w:r>
    </w:p>
    <w:bookmarkEnd w:id="5"/>
    <w:p w:rsidR="00B36E61" w:rsidRDefault="00B36E61" w:rsidP="00B36E61">
      <w:pPr>
        <w:shd w:val="clear" w:color="auto" w:fill="EAEAEA"/>
        <w:spacing w:after="0"/>
        <w:jc w:val="center"/>
        <w:rPr>
          <w:rFonts w:ascii="Arial" w:hAnsi="Arial" w:cs="Arial"/>
          <w:sz w:val="20"/>
          <w:szCs w:val="20"/>
        </w:rPr>
      </w:pPr>
    </w:p>
    <w:p w:rsidR="00B36E61" w:rsidRPr="006B28C5" w:rsidRDefault="00B36E61" w:rsidP="00B36E61">
      <w:pPr>
        <w:spacing w:before="120" w:after="0"/>
        <w:rPr>
          <w:rFonts w:ascii="Arial" w:hAnsi="Arial" w:cs="Arial"/>
          <w:sz w:val="20"/>
          <w:szCs w:val="20"/>
        </w:rPr>
      </w:pPr>
    </w:p>
    <w:p w:rsidR="00B36E61" w:rsidRPr="00B36E61" w:rsidRDefault="00B36E61" w:rsidP="00B36E61">
      <w:pPr>
        <w:spacing w:before="120" w:after="0"/>
        <w:jc w:val="both"/>
        <w:rPr>
          <w:rFonts w:ascii="Arial" w:hAnsi="Arial" w:cs="Arial"/>
        </w:rPr>
      </w:pPr>
      <w:r w:rsidRPr="00B36E61">
        <w:rPr>
          <w:rFonts w:ascii="Arial" w:hAnsi="Arial" w:cs="Arial"/>
        </w:rPr>
        <w:t>Determinadas despesas realizadas pelo estado exigem acompanhamentos mais intensos e individualizados, enquanto outros podem ser analisados e monitorados de forma macro, sem afetar a efetividade do controle da gestão orçamentária e financeira. Com este fim, a Gerência de Programação financeira da Diretoria do Tesouro Estadual definiu grupos de programação financeira.</w:t>
      </w:r>
    </w:p>
    <w:p w:rsidR="00814013" w:rsidRDefault="00B36E61" w:rsidP="00B36E61">
      <w:pPr>
        <w:spacing w:before="120" w:after="0"/>
        <w:jc w:val="both"/>
        <w:rPr>
          <w:rFonts w:ascii="Arial" w:hAnsi="Arial" w:cs="Arial"/>
        </w:rPr>
      </w:pPr>
      <w:r w:rsidRPr="00B36E61">
        <w:rPr>
          <w:rFonts w:ascii="Arial" w:hAnsi="Arial" w:cs="Arial"/>
        </w:rPr>
        <w:t>Os grupos da programação financeira são uma divisão com visão financeira da estrutura orçamentária. São uma ferramenta gerencial utilizada pela Diretoria do Tesouro para permitir ou bloquear determinadas despesas previstas na estrutura orçamentária.</w:t>
      </w:r>
    </w:p>
    <w:p w:rsidR="0010418F" w:rsidRDefault="0010418F" w:rsidP="00B36E61">
      <w:pPr>
        <w:spacing w:before="120" w:after="0"/>
        <w:jc w:val="both"/>
        <w:rPr>
          <w:rFonts w:ascii="Arial" w:hAnsi="Arial" w:cs="Arial"/>
        </w:rPr>
      </w:pPr>
    </w:p>
    <w:p w:rsidR="0010418F" w:rsidRDefault="00910823" w:rsidP="00B36E61">
      <w:pPr>
        <w:spacing w:before="120" w:after="0"/>
        <w:jc w:val="both"/>
        <w:rPr>
          <w:rFonts w:ascii="Arial" w:hAnsi="Arial" w:cs="Arial"/>
        </w:rPr>
      </w:pPr>
      <w:r>
        <w:rPr>
          <w:rFonts w:ascii="Arial" w:hAnsi="Arial" w:cs="Arial"/>
        </w:rPr>
        <w:t xml:space="preserve">Em </w:t>
      </w:r>
      <w:hyperlink r:id="rId16" w:history="1">
        <w:r w:rsidRPr="005C7384">
          <w:rPr>
            <w:rStyle w:val="Hyperlink"/>
            <w:rFonts w:ascii="Arial" w:hAnsi="Arial" w:cs="Arial"/>
          </w:rPr>
          <w:t>https://www.sef.sc.gov.br/servicos/assunto/56/Programa%C3%A7%C3%A3o_Financeira</w:t>
        </w:r>
      </w:hyperlink>
      <w:r>
        <w:rPr>
          <w:rFonts w:ascii="Arial" w:hAnsi="Arial" w:cs="Arial"/>
        </w:rPr>
        <w:t>, disponibilizamos uma calculadora de grupos de programação. Com ela os gestores poderão informar a natureza da despesa até o subelemento e a sub-ação e obter o grupo correto para ser empenhada determinada despesa.</w:t>
      </w:r>
    </w:p>
    <w:p w:rsidR="00E03430" w:rsidRDefault="00E03430" w:rsidP="00E03430">
      <w:pPr>
        <w:spacing w:before="120" w:after="0"/>
        <w:jc w:val="both"/>
        <w:rPr>
          <w:rStyle w:val="Hyperlink"/>
          <w:rFonts w:ascii="Arial" w:hAnsi="Arial" w:cs="Arial"/>
        </w:rPr>
      </w:pPr>
    </w:p>
    <w:p w:rsidR="00E03430" w:rsidRPr="00FF1362" w:rsidRDefault="00E03430" w:rsidP="00E03430">
      <w:pPr>
        <w:spacing w:before="120" w:after="0"/>
        <w:jc w:val="both"/>
        <w:rPr>
          <w:rStyle w:val="Hyperlink"/>
          <w:rFonts w:ascii="Arial" w:hAnsi="Arial" w:cs="Arial"/>
        </w:rPr>
      </w:pPr>
    </w:p>
    <w:p w:rsidR="00E03430" w:rsidRDefault="00E03430" w:rsidP="00E03430">
      <w:pPr>
        <w:spacing w:before="120" w:after="0"/>
        <w:jc w:val="both"/>
        <w:rPr>
          <w:rFonts w:ascii="Arial" w:hAnsi="Arial" w:cs="Arial"/>
        </w:rPr>
      </w:pPr>
      <w:r>
        <w:rPr>
          <w:rFonts w:ascii="Arial" w:hAnsi="Arial" w:cs="Arial"/>
        </w:rPr>
        <w:t>A consulta também pode ser feita diretamente no SIGEF utilizando a funcionalidade “Listar Grupo da Programação Financeira” conforme mostrado a seguir:</w:t>
      </w:r>
    </w:p>
    <w:p w:rsidR="00910823" w:rsidRDefault="00910823" w:rsidP="00E03430">
      <w:pPr>
        <w:spacing w:before="120" w:after="0"/>
        <w:jc w:val="both"/>
        <w:rPr>
          <w:rFonts w:ascii="Arial" w:hAnsi="Arial" w:cs="Arial"/>
        </w:rPr>
      </w:pPr>
    </w:p>
    <w:p w:rsidR="00E03430" w:rsidRDefault="00E03430" w:rsidP="00E03430">
      <w:pPr>
        <w:spacing w:before="120" w:after="0"/>
        <w:jc w:val="both"/>
        <w:rPr>
          <w:rFonts w:ascii="Arial" w:hAnsi="Arial" w:cs="Arial"/>
        </w:rPr>
      </w:pPr>
    </w:p>
    <w:p w:rsidR="00E03430" w:rsidRDefault="00E03430" w:rsidP="00E03430">
      <w:pPr>
        <w:spacing w:before="120" w:after="0"/>
        <w:jc w:val="both"/>
        <w:rPr>
          <w:rFonts w:ascii="Arial" w:hAnsi="Arial" w:cs="Arial"/>
        </w:rPr>
      </w:pPr>
    </w:p>
    <w:p w:rsidR="00E03430" w:rsidRDefault="00E03430" w:rsidP="00E03430">
      <w:pPr>
        <w:spacing w:before="120" w:after="0"/>
        <w:jc w:val="both"/>
        <w:rPr>
          <w:rFonts w:ascii="Arial" w:hAnsi="Arial" w:cs="Arial"/>
        </w:rPr>
      </w:pPr>
    </w:p>
    <w:p w:rsidR="00E03430" w:rsidRDefault="00E03430" w:rsidP="00E03430">
      <w:pPr>
        <w:spacing w:before="120" w:after="0"/>
        <w:jc w:val="both"/>
        <w:rPr>
          <w:rFonts w:ascii="Arial" w:hAnsi="Arial" w:cs="Arial"/>
        </w:rPr>
      </w:pPr>
    </w:p>
    <w:p w:rsidR="00E03430" w:rsidRDefault="00E03430" w:rsidP="00E03430">
      <w:pPr>
        <w:spacing w:before="120" w:after="0"/>
        <w:jc w:val="both"/>
        <w:rPr>
          <w:rFonts w:ascii="Arial" w:hAnsi="Arial" w:cs="Arial"/>
        </w:rPr>
      </w:pPr>
    </w:p>
    <w:p w:rsidR="00E03430" w:rsidRPr="00E03430" w:rsidRDefault="00E03430" w:rsidP="00E03430">
      <w:pPr>
        <w:pStyle w:val="PargrafodaLista"/>
        <w:numPr>
          <w:ilvl w:val="0"/>
          <w:numId w:val="2"/>
        </w:numPr>
        <w:spacing w:before="120" w:after="0"/>
        <w:jc w:val="both"/>
        <w:rPr>
          <w:rFonts w:ascii="Arial" w:hAnsi="Arial" w:cs="Arial"/>
          <w:b/>
        </w:rPr>
      </w:pPr>
      <w:r w:rsidRPr="00E03430">
        <w:rPr>
          <w:rFonts w:ascii="Arial" w:hAnsi="Arial" w:cs="Arial"/>
        </w:rPr>
        <w:lastRenderedPageBreak/>
        <w:t xml:space="preserve">Selecionar a funcionalidade </w:t>
      </w:r>
      <w:r w:rsidRPr="00E03430">
        <w:rPr>
          <w:rFonts w:ascii="Arial" w:hAnsi="Arial" w:cs="Arial"/>
          <w:b/>
        </w:rPr>
        <w:t xml:space="preserve">Listar Grupo Programação Financeira </w:t>
      </w:r>
      <w:r w:rsidRPr="00E03430">
        <w:rPr>
          <w:rFonts w:ascii="Arial" w:hAnsi="Arial" w:cs="Arial"/>
        </w:rPr>
        <w:t>no</w:t>
      </w:r>
      <w:r w:rsidRPr="00E03430">
        <w:rPr>
          <w:rFonts w:ascii="Arial" w:hAnsi="Arial" w:cs="Arial"/>
          <w:b/>
        </w:rPr>
        <w:t xml:space="preserve"> Módulo FIN-PGF-Prog Financeira</w:t>
      </w:r>
    </w:p>
    <w:p w:rsidR="00E03430" w:rsidRPr="00E03430" w:rsidRDefault="00910823" w:rsidP="00E03430">
      <w:pPr>
        <w:pStyle w:val="PargrafodaLista"/>
        <w:spacing w:before="120" w:after="0"/>
        <w:ind w:left="1065"/>
        <w:jc w:val="center"/>
        <w:rPr>
          <w:rFonts w:ascii="Arial" w:hAnsi="Arial" w:cs="Arial"/>
          <w:b/>
        </w:rPr>
      </w:pPr>
      <w:r>
        <w:rPr>
          <w:noProof/>
        </w:rPr>
        <w:drawing>
          <wp:inline distT="0" distB="0" distL="0" distR="0" wp14:anchorId="0309AEBC" wp14:editId="606B2436">
            <wp:extent cx="8723630" cy="2780312"/>
            <wp:effectExtent l="0" t="0" r="127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60623" cy="2792102"/>
                    </a:xfrm>
                    <a:prstGeom prst="rect">
                      <a:avLst/>
                    </a:prstGeom>
                  </pic:spPr>
                </pic:pic>
              </a:graphicData>
            </a:graphic>
          </wp:inline>
        </w:drawing>
      </w:r>
    </w:p>
    <w:p w:rsidR="00E03430" w:rsidRDefault="00E03430" w:rsidP="00E03430">
      <w:pPr>
        <w:spacing w:before="120" w:after="0"/>
        <w:jc w:val="both"/>
        <w:rPr>
          <w:rFonts w:ascii="Arial" w:hAnsi="Arial" w:cs="Arial"/>
        </w:rPr>
      </w:pPr>
    </w:p>
    <w:p w:rsidR="00F9327D" w:rsidRDefault="00F9327D" w:rsidP="00B36E61">
      <w:pPr>
        <w:spacing w:before="120" w:after="0"/>
        <w:jc w:val="both"/>
        <w:rPr>
          <w:rFonts w:ascii="Arial" w:hAnsi="Arial" w:cs="Arial"/>
        </w:rPr>
      </w:pPr>
    </w:p>
    <w:p w:rsidR="00F9327D" w:rsidRDefault="00F9327D" w:rsidP="00B36E61">
      <w:pPr>
        <w:spacing w:before="120" w:after="0"/>
        <w:jc w:val="both"/>
        <w:rPr>
          <w:rFonts w:ascii="Arial" w:hAnsi="Arial" w:cs="Arial"/>
        </w:rPr>
      </w:pPr>
    </w:p>
    <w:p w:rsidR="00910823" w:rsidRDefault="00910823" w:rsidP="00B36E61">
      <w:pPr>
        <w:spacing w:before="120" w:after="0"/>
        <w:jc w:val="both"/>
        <w:rPr>
          <w:rFonts w:ascii="Arial" w:hAnsi="Arial" w:cs="Arial"/>
        </w:rPr>
      </w:pPr>
    </w:p>
    <w:p w:rsidR="00910823" w:rsidRDefault="00910823" w:rsidP="00B36E61">
      <w:pPr>
        <w:spacing w:before="120" w:after="0"/>
        <w:jc w:val="both"/>
        <w:rPr>
          <w:rFonts w:ascii="Arial" w:hAnsi="Arial" w:cs="Arial"/>
        </w:rPr>
      </w:pPr>
    </w:p>
    <w:p w:rsidR="00910823" w:rsidRDefault="00910823" w:rsidP="00B36E61">
      <w:pPr>
        <w:spacing w:before="120" w:after="0"/>
        <w:jc w:val="both"/>
        <w:rPr>
          <w:rFonts w:ascii="Arial" w:hAnsi="Arial" w:cs="Arial"/>
        </w:rPr>
      </w:pPr>
    </w:p>
    <w:p w:rsidR="00910823" w:rsidRDefault="00910823" w:rsidP="00B36E61">
      <w:pPr>
        <w:spacing w:before="120" w:after="0"/>
        <w:jc w:val="both"/>
        <w:rPr>
          <w:rFonts w:ascii="Arial" w:hAnsi="Arial" w:cs="Arial"/>
        </w:rPr>
      </w:pPr>
    </w:p>
    <w:p w:rsidR="00910823" w:rsidRDefault="00910823" w:rsidP="00B36E61">
      <w:pPr>
        <w:spacing w:before="120" w:after="0"/>
        <w:jc w:val="both"/>
        <w:rPr>
          <w:rFonts w:ascii="Arial" w:hAnsi="Arial" w:cs="Arial"/>
        </w:rPr>
      </w:pPr>
    </w:p>
    <w:p w:rsidR="00910823" w:rsidRDefault="00910823" w:rsidP="00B36E61">
      <w:pPr>
        <w:spacing w:before="120" w:after="0"/>
        <w:jc w:val="both"/>
        <w:rPr>
          <w:rFonts w:ascii="Arial" w:hAnsi="Arial" w:cs="Arial"/>
        </w:rPr>
      </w:pPr>
    </w:p>
    <w:p w:rsidR="00E03430" w:rsidRPr="00E03430" w:rsidRDefault="001A3DEE" w:rsidP="00E03430">
      <w:pPr>
        <w:pStyle w:val="PargrafodaLista"/>
        <w:numPr>
          <w:ilvl w:val="0"/>
          <w:numId w:val="2"/>
        </w:numPr>
        <w:spacing w:before="120" w:after="0"/>
        <w:jc w:val="both"/>
        <w:rPr>
          <w:rFonts w:ascii="Arial" w:hAnsi="Arial" w:cs="Arial"/>
          <w:b/>
        </w:rPr>
      </w:pPr>
      <w:r>
        <w:rPr>
          <w:rFonts w:ascii="Arial" w:hAnsi="Arial" w:cs="Arial"/>
        </w:rPr>
        <w:lastRenderedPageBreak/>
        <w:t xml:space="preserve">A lista com os grupos pode ser filtrada informando a natureza da despesa ou informação funcional programática e clicando em </w:t>
      </w:r>
      <w:r w:rsidRPr="00542B6B">
        <w:rPr>
          <w:rFonts w:ascii="Arial" w:hAnsi="Arial" w:cs="Arial"/>
          <w:b/>
        </w:rPr>
        <w:t>Confirmar</w:t>
      </w:r>
    </w:p>
    <w:p w:rsidR="003F3A98" w:rsidRDefault="00910823" w:rsidP="00E03430">
      <w:pPr>
        <w:spacing w:before="120" w:after="0"/>
        <w:jc w:val="center"/>
        <w:rPr>
          <w:rFonts w:ascii="Arial" w:hAnsi="Arial" w:cs="Arial"/>
        </w:rPr>
      </w:pPr>
      <w:r>
        <w:rPr>
          <w:noProof/>
        </w:rPr>
        <w:drawing>
          <wp:inline distT="0" distB="0" distL="0" distR="0" wp14:anchorId="327C37EE" wp14:editId="0DBA014E">
            <wp:extent cx="7047230" cy="4591308"/>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72533" cy="4607793"/>
                    </a:xfrm>
                    <a:prstGeom prst="rect">
                      <a:avLst/>
                    </a:prstGeom>
                  </pic:spPr>
                </pic:pic>
              </a:graphicData>
            </a:graphic>
          </wp:inline>
        </w:drawing>
      </w:r>
    </w:p>
    <w:p w:rsidR="00F9327D" w:rsidRDefault="00F9327D">
      <w:pPr>
        <w:rPr>
          <w:rFonts w:ascii="Arial" w:hAnsi="Arial" w:cs="Arial"/>
        </w:rPr>
      </w:pPr>
      <w:r>
        <w:rPr>
          <w:rFonts w:ascii="Arial" w:hAnsi="Arial" w:cs="Arial"/>
        </w:rPr>
        <w:br w:type="page"/>
      </w:r>
    </w:p>
    <w:p w:rsidR="00F9327D" w:rsidRDefault="00F9327D" w:rsidP="00F9327D">
      <w:pPr>
        <w:spacing w:before="120" w:after="0"/>
        <w:rPr>
          <w:rFonts w:ascii="Arial" w:hAnsi="Arial" w:cs="Arial"/>
          <w:sz w:val="20"/>
          <w:szCs w:val="20"/>
        </w:rPr>
      </w:pPr>
    </w:p>
    <w:p w:rsidR="00F9327D" w:rsidRDefault="00F9327D" w:rsidP="00F9327D">
      <w:pPr>
        <w:shd w:val="clear" w:color="auto" w:fill="EAEAEA"/>
        <w:spacing w:after="0"/>
        <w:jc w:val="center"/>
        <w:rPr>
          <w:rFonts w:ascii="Arial" w:hAnsi="Arial" w:cs="Arial"/>
          <w:sz w:val="20"/>
          <w:szCs w:val="20"/>
        </w:rPr>
      </w:pPr>
    </w:p>
    <w:p w:rsidR="00F9327D" w:rsidRPr="00AD2EA6" w:rsidRDefault="00F9327D" w:rsidP="00F9327D">
      <w:pPr>
        <w:shd w:val="clear" w:color="auto" w:fill="EAEAEA"/>
        <w:spacing w:after="0"/>
        <w:jc w:val="center"/>
        <w:rPr>
          <w:rFonts w:ascii="Arial" w:hAnsi="Arial" w:cs="Arial"/>
          <w:b/>
          <w:sz w:val="20"/>
          <w:szCs w:val="20"/>
        </w:rPr>
      </w:pPr>
      <w:bookmarkStart w:id="6" w:name="Remanejamento"/>
      <w:r>
        <w:rPr>
          <w:rFonts w:ascii="Arial" w:hAnsi="Arial" w:cs="Arial"/>
          <w:b/>
          <w:sz w:val="20"/>
          <w:szCs w:val="20"/>
        </w:rPr>
        <w:t>REMANEJAMENTO ENTRE OS GRUPOS DA PROGRAMAÇÃO FINANCEIRA</w:t>
      </w:r>
    </w:p>
    <w:bookmarkEnd w:id="6"/>
    <w:p w:rsidR="00F9327D" w:rsidRDefault="00F9327D" w:rsidP="00F9327D">
      <w:pPr>
        <w:shd w:val="clear" w:color="auto" w:fill="EAEAEA"/>
        <w:spacing w:after="0"/>
        <w:jc w:val="center"/>
        <w:rPr>
          <w:rFonts w:ascii="Arial" w:hAnsi="Arial" w:cs="Arial"/>
          <w:sz w:val="20"/>
          <w:szCs w:val="20"/>
        </w:rPr>
      </w:pPr>
    </w:p>
    <w:p w:rsidR="00F9327D" w:rsidRPr="006B28C5" w:rsidRDefault="00F9327D" w:rsidP="00F9327D">
      <w:pPr>
        <w:spacing w:before="120" w:after="0"/>
        <w:rPr>
          <w:rFonts w:ascii="Arial" w:hAnsi="Arial" w:cs="Arial"/>
          <w:sz w:val="20"/>
          <w:szCs w:val="20"/>
        </w:rPr>
      </w:pPr>
    </w:p>
    <w:p w:rsidR="00F9327D" w:rsidRPr="00F9327D" w:rsidRDefault="00F9327D" w:rsidP="004D4F4C">
      <w:pPr>
        <w:spacing w:before="120" w:after="0"/>
        <w:jc w:val="both"/>
        <w:rPr>
          <w:rFonts w:ascii="Arial" w:hAnsi="Arial" w:cs="Arial"/>
        </w:rPr>
      </w:pPr>
      <w:r w:rsidRPr="00F9327D">
        <w:rPr>
          <w:rFonts w:ascii="Arial" w:hAnsi="Arial" w:cs="Arial"/>
        </w:rPr>
        <w:t xml:space="preserve">As trocas entre grupos da programação financeira são </w:t>
      </w:r>
      <w:r w:rsidR="004D4F4C">
        <w:rPr>
          <w:rFonts w:ascii="Arial" w:hAnsi="Arial" w:cs="Arial"/>
        </w:rPr>
        <w:t xml:space="preserve">em regra automáticas, porém, há algumas exceções que passam pela nossa gerência para serem autorizados. Normalmente são grupos bem específicos, como o grupo 165 (CIASC) por exemplo, nesses casos, caso demore, favor enviar e-mail para a </w:t>
      </w:r>
      <w:hyperlink r:id="rId19" w:history="1">
        <w:r w:rsidR="004D4F4C" w:rsidRPr="005C7384">
          <w:rPr>
            <w:rStyle w:val="Hyperlink"/>
            <w:rFonts w:ascii="Arial" w:hAnsi="Arial" w:cs="Arial"/>
          </w:rPr>
          <w:t>progfin@sef.sc.gov.br</w:t>
        </w:r>
      </w:hyperlink>
      <w:r w:rsidR="004D4F4C">
        <w:rPr>
          <w:rFonts w:ascii="Arial" w:hAnsi="Arial" w:cs="Arial"/>
        </w:rPr>
        <w:t xml:space="preserve"> para analisarmos a solicitação.</w:t>
      </w:r>
    </w:p>
    <w:p w:rsidR="00F9327D" w:rsidRDefault="00F9327D" w:rsidP="00F9327D">
      <w:pPr>
        <w:spacing w:before="120" w:after="0"/>
        <w:jc w:val="both"/>
        <w:rPr>
          <w:rFonts w:ascii="Arial" w:hAnsi="Arial" w:cs="Arial"/>
        </w:rPr>
      </w:pPr>
      <w:r w:rsidRPr="00F9327D">
        <w:rPr>
          <w:rFonts w:ascii="Arial" w:hAnsi="Arial" w:cs="Arial"/>
        </w:rPr>
        <w:t xml:space="preserve">Os pedidos são feitos via SIGEF utilizando a funcionalidade </w:t>
      </w:r>
      <w:r w:rsidRPr="00F80825">
        <w:rPr>
          <w:rFonts w:ascii="Arial" w:hAnsi="Arial" w:cs="Arial"/>
          <w:b/>
        </w:rPr>
        <w:t>“Solicitar Acréscimo/Redução Programação Financeira”</w:t>
      </w:r>
      <w:r w:rsidRPr="00F9327D">
        <w:rPr>
          <w:rFonts w:ascii="Arial" w:hAnsi="Arial" w:cs="Arial"/>
        </w:rPr>
        <w:t xml:space="preserve"> no módulo de Programação financeira do SIGEF.</w:t>
      </w:r>
      <w:r>
        <w:rPr>
          <w:rFonts w:ascii="Arial" w:hAnsi="Arial" w:cs="Arial"/>
        </w:rPr>
        <w:t xml:space="preserve"> O procedimento é descrito nas páginas seguintes:</w:t>
      </w:r>
    </w:p>
    <w:p w:rsidR="00806D9A" w:rsidRDefault="00806D9A" w:rsidP="00F9327D">
      <w:pPr>
        <w:spacing w:before="120" w:after="0"/>
        <w:jc w:val="both"/>
        <w:rPr>
          <w:rFonts w:ascii="Arial" w:hAnsi="Arial" w:cs="Arial"/>
        </w:rPr>
      </w:pPr>
    </w:p>
    <w:p w:rsidR="00806D9A" w:rsidRDefault="00806D9A">
      <w:pPr>
        <w:rPr>
          <w:rFonts w:ascii="Arial" w:hAnsi="Arial" w:cs="Arial"/>
        </w:rPr>
      </w:pPr>
      <w:r>
        <w:rPr>
          <w:rFonts w:ascii="Arial" w:hAnsi="Arial" w:cs="Arial"/>
        </w:rPr>
        <w:br w:type="page"/>
      </w:r>
    </w:p>
    <w:p w:rsidR="00F9327D" w:rsidRDefault="00806D9A" w:rsidP="00F9327D">
      <w:pPr>
        <w:spacing w:before="120" w:after="0"/>
        <w:jc w:val="both"/>
        <w:rPr>
          <w:rFonts w:ascii="Arial" w:hAnsi="Arial" w:cs="Arial"/>
          <w:b/>
        </w:rPr>
      </w:pPr>
      <w:r w:rsidRPr="00806D9A">
        <w:rPr>
          <w:rFonts w:ascii="Arial" w:hAnsi="Arial" w:cs="Arial"/>
        </w:rPr>
        <w:lastRenderedPageBreak/>
        <w:t>1.</w:t>
      </w:r>
      <w:r w:rsidRPr="00806D9A">
        <w:rPr>
          <w:rFonts w:ascii="Arial" w:hAnsi="Arial" w:cs="Arial"/>
        </w:rPr>
        <w:tab/>
        <w:t xml:space="preserve">Selecionar a funcionalidade </w:t>
      </w:r>
      <w:r w:rsidRPr="00806D9A">
        <w:rPr>
          <w:rFonts w:ascii="Arial" w:hAnsi="Arial" w:cs="Arial"/>
          <w:b/>
        </w:rPr>
        <w:t xml:space="preserve">Solicitar Acréscimo/Redução Programação Financeira </w:t>
      </w:r>
      <w:r w:rsidRPr="00806D9A">
        <w:rPr>
          <w:rFonts w:ascii="Arial" w:hAnsi="Arial" w:cs="Arial"/>
        </w:rPr>
        <w:t>no</w:t>
      </w:r>
      <w:r w:rsidRPr="00806D9A">
        <w:rPr>
          <w:rFonts w:ascii="Arial" w:hAnsi="Arial" w:cs="Arial"/>
          <w:b/>
        </w:rPr>
        <w:t xml:space="preserve"> Módulo FIN-PGF-Prog Financeira</w:t>
      </w:r>
    </w:p>
    <w:p w:rsidR="001D2ECE" w:rsidRDefault="004D4F4C" w:rsidP="004D4F4C">
      <w:pPr>
        <w:spacing w:before="120" w:after="0"/>
        <w:jc w:val="center"/>
        <w:rPr>
          <w:rFonts w:ascii="Arial" w:hAnsi="Arial" w:cs="Arial"/>
        </w:rPr>
      </w:pPr>
      <w:r>
        <w:rPr>
          <w:noProof/>
        </w:rPr>
        <w:drawing>
          <wp:inline distT="0" distB="0" distL="0" distR="0" wp14:anchorId="684FA0F9" wp14:editId="550160F2">
            <wp:extent cx="9828530" cy="3673475"/>
            <wp:effectExtent l="0" t="0" r="127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28530" cy="3673475"/>
                    </a:xfrm>
                    <a:prstGeom prst="rect">
                      <a:avLst/>
                    </a:prstGeom>
                  </pic:spPr>
                </pic:pic>
              </a:graphicData>
            </a:graphic>
          </wp:inline>
        </w:drawing>
      </w:r>
      <w:r w:rsidR="001D2ECE">
        <w:rPr>
          <w:rFonts w:ascii="Arial" w:hAnsi="Arial" w:cs="Arial"/>
        </w:rPr>
        <w:br w:type="page"/>
      </w:r>
    </w:p>
    <w:p w:rsidR="004D4F4C" w:rsidRDefault="001D2ECE" w:rsidP="001D2ECE">
      <w:pPr>
        <w:spacing w:before="120" w:after="0"/>
        <w:jc w:val="both"/>
        <w:rPr>
          <w:rFonts w:ascii="Arial" w:hAnsi="Arial" w:cs="Arial"/>
        </w:rPr>
      </w:pPr>
      <w:r w:rsidRPr="001D2ECE">
        <w:rPr>
          <w:rFonts w:ascii="Arial" w:hAnsi="Arial" w:cs="Arial"/>
        </w:rPr>
        <w:lastRenderedPageBreak/>
        <w:t>2.</w:t>
      </w:r>
      <w:r w:rsidRPr="001D2ECE">
        <w:rPr>
          <w:rFonts w:ascii="Arial" w:hAnsi="Arial" w:cs="Arial"/>
        </w:rPr>
        <w:tab/>
      </w:r>
    </w:p>
    <w:p w:rsidR="001D2ECE" w:rsidRDefault="001D2ECE" w:rsidP="001D2ECE">
      <w:pPr>
        <w:spacing w:before="120" w:after="0"/>
        <w:jc w:val="both"/>
        <w:rPr>
          <w:rFonts w:ascii="Arial" w:hAnsi="Arial" w:cs="Arial"/>
        </w:rPr>
      </w:pPr>
      <w:r w:rsidRPr="001D2ECE">
        <w:rPr>
          <w:rFonts w:ascii="Arial" w:hAnsi="Arial" w:cs="Arial"/>
        </w:rPr>
        <w:t xml:space="preserve">Informar a </w:t>
      </w:r>
      <w:r w:rsidRPr="001D2ECE">
        <w:rPr>
          <w:rFonts w:ascii="Arial" w:hAnsi="Arial" w:cs="Arial"/>
          <w:b/>
        </w:rPr>
        <w:t>Unidade Gestora/Gestão, a Fonte e o Grupo</w:t>
      </w:r>
      <w:r w:rsidRPr="001D2ECE">
        <w:rPr>
          <w:rFonts w:ascii="Arial" w:hAnsi="Arial" w:cs="Arial"/>
        </w:rPr>
        <w:t xml:space="preserve"> de onde se deseja retirar a cota (ou deixar em branco para que a tela apresente todas as Fontes e Grupos com saldo disponível).</w:t>
      </w:r>
    </w:p>
    <w:p w:rsidR="004D4F4C" w:rsidRDefault="004D4F4C" w:rsidP="004D4F4C">
      <w:pPr>
        <w:spacing w:before="120" w:after="0"/>
        <w:jc w:val="center"/>
        <w:rPr>
          <w:rFonts w:ascii="Arial" w:hAnsi="Arial" w:cs="Arial"/>
        </w:rPr>
      </w:pPr>
      <w:r>
        <w:rPr>
          <w:noProof/>
        </w:rPr>
        <w:drawing>
          <wp:inline distT="0" distB="0" distL="0" distR="0" wp14:anchorId="2EF9EAF1" wp14:editId="44B6F378">
            <wp:extent cx="6933586" cy="4517268"/>
            <wp:effectExtent l="0" t="0" r="63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44574" cy="4524427"/>
                    </a:xfrm>
                    <a:prstGeom prst="rect">
                      <a:avLst/>
                    </a:prstGeom>
                  </pic:spPr>
                </pic:pic>
              </a:graphicData>
            </a:graphic>
          </wp:inline>
        </w:drawing>
      </w:r>
    </w:p>
    <w:p w:rsidR="001D2ECE" w:rsidRDefault="001D2ECE" w:rsidP="001D2ECE">
      <w:pPr>
        <w:spacing w:before="120" w:after="0"/>
        <w:jc w:val="both"/>
        <w:rPr>
          <w:rFonts w:ascii="Arial" w:hAnsi="Arial" w:cs="Arial"/>
        </w:rPr>
      </w:pPr>
    </w:p>
    <w:p w:rsidR="001D2ECE" w:rsidRDefault="001D2ECE" w:rsidP="001D2ECE">
      <w:pPr>
        <w:spacing w:before="120" w:after="0"/>
        <w:jc w:val="center"/>
        <w:rPr>
          <w:rFonts w:ascii="Arial" w:hAnsi="Arial" w:cs="Arial"/>
        </w:rPr>
      </w:pPr>
    </w:p>
    <w:p w:rsidR="00024189" w:rsidRPr="00121AA9" w:rsidRDefault="00024189" w:rsidP="00121AA9">
      <w:pPr>
        <w:pStyle w:val="PargrafodaLista"/>
        <w:numPr>
          <w:ilvl w:val="0"/>
          <w:numId w:val="2"/>
        </w:numPr>
        <w:spacing w:before="120" w:after="0"/>
        <w:jc w:val="both"/>
        <w:rPr>
          <w:rFonts w:ascii="Arial" w:hAnsi="Arial" w:cs="Arial"/>
        </w:rPr>
      </w:pPr>
      <w:r w:rsidRPr="00121AA9">
        <w:rPr>
          <w:rFonts w:ascii="Arial" w:hAnsi="Arial" w:cs="Arial"/>
        </w:rPr>
        <w:t>Clicar na primeira coluna da linha que contém o grupo e o mês de onde se deseja retirar a cota.</w:t>
      </w:r>
    </w:p>
    <w:p w:rsidR="00121AA9" w:rsidRPr="00121AA9" w:rsidRDefault="00121AA9" w:rsidP="00121AA9">
      <w:pPr>
        <w:pStyle w:val="PargrafodaLista"/>
        <w:spacing w:before="120" w:after="0"/>
        <w:ind w:left="1065"/>
        <w:jc w:val="both"/>
        <w:rPr>
          <w:rFonts w:ascii="Arial" w:hAnsi="Arial" w:cs="Arial"/>
        </w:rPr>
      </w:pPr>
      <w:r>
        <w:rPr>
          <w:noProof/>
        </w:rPr>
        <w:drawing>
          <wp:inline distT="0" distB="0" distL="0" distR="0" wp14:anchorId="51A192D7" wp14:editId="6C2C239A">
            <wp:extent cx="6932930" cy="4516841"/>
            <wp:effectExtent l="0" t="0" r="127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38556" cy="4520506"/>
                    </a:xfrm>
                    <a:prstGeom prst="rect">
                      <a:avLst/>
                    </a:prstGeom>
                  </pic:spPr>
                </pic:pic>
              </a:graphicData>
            </a:graphic>
          </wp:inline>
        </w:drawing>
      </w:r>
    </w:p>
    <w:p w:rsidR="005375E7" w:rsidRDefault="005375E7" w:rsidP="00024189">
      <w:pPr>
        <w:spacing w:before="120" w:after="0"/>
        <w:jc w:val="both"/>
        <w:rPr>
          <w:rFonts w:ascii="Arial" w:hAnsi="Arial" w:cs="Arial"/>
        </w:rPr>
      </w:pPr>
    </w:p>
    <w:p w:rsidR="005375E7" w:rsidRDefault="005375E7" w:rsidP="005375E7">
      <w:pPr>
        <w:spacing w:before="120" w:after="0"/>
        <w:jc w:val="center"/>
        <w:rPr>
          <w:rFonts w:ascii="Arial" w:hAnsi="Arial" w:cs="Arial"/>
        </w:rPr>
      </w:pPr>
    </w:p>
    <w:p w:rsidR="00121AA9" w:rsidRPr="00121AA9" w:rsidRDefault="0061259E" w:rsidP="00121AA9">
      <w:pPr>
        <w:pStyle w:val="PargrafodaLista"/>
        <w:numPr>
          <w:ilvl w:val="0"/>
          <w:numId w:val="2"/>
        </w:numPr>
        <w:spacing w:before="120" w:after="0"/>
        <w:jc w:val="center"/>
        <w:rPr>
          <w:rFonts w:ascii="Arial" w:hAnsi="Arial" w:cs="Arial"/>
        </w:rPr>
      </w:pPr>
      <w:r w:rsidRPr="00121AA9">
        <w:rPr>
          <w:rFonts w:ascii="Arial" w:hAnsi="Arial" w:cs="Arial"/>
        </w:rPr>
        <w:t>Informar o grupo da programação financeira para onde se deseja remanejar a programação financeira e a justificativa. Também preencher os campos com os valores e os meses e confirmar a operação. É de extrema importância o preenchimento do campo “justificativa” com o máximo de informações relevantes possível, para subsidiar a Gerência de Programação financeira nas alterações solicitadas.</w:t>
      </w:r>
      <w:r w:rsidR="00121AA9">
        <w:rPr>
          <w:noProof/>
        </w:rPr>
        <w:drawing>
          <wp:inline distT="0" distB="0" distL="0" distR="0" wp14:anchorId="54C5E951" wp14:editId="3B2E2CD7">
            <wp:extent cx="5914167" cy="3920490"/>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4629" cy="3927425"/>
                    </a:xfrm>
                    <a:prstGeom prst="rect">
                      <a:avLst/>
                    </a:prstGeom>
                  </pic:spPr>
                </pic:pic>
              </a:graphicData>
            </a:graphic>
          </wp:inline>
        </w:drawing>
      </w:r>
    </w:p>
    <w:p w:rsidR="0061259E" w:rsidRDefault="0061259E" w:rsidP="0061259E">
      <w:pPr>
        <w:spacing w:before="120" w:after="0"/>
        <w:jc w:val="center"/>
        <w:rPr>
          <w:rFonts w:ascii="Arial" w:hAnsi="Arial" w:cs="Arial"/>
        </w:rPr>
      </w:pPr>
    </w:p>
    <w:p w:rsidR="00407D1B" w:rsidRDefault="00407D1B" w:rsidP="00407D1B">
      <w:pPr>
        <w:spacing w:before="120" w:after="0"/>
        <w:rPr>
          <w:rFonts w:ascii="Arial" w:hAnsi="Arial" w:cs="Arial"/>
          <w:sz w:val="20"/>
          <w:szCs w:val="20"/>
        </w:rPr>
      </w:pPr>
    </w:p>
    <w:p w:rsidR="00407D1B" w:rsidRDefault="00407D1B" w:rsidP="00407D1B">
      <w:pPr>
        <w:shd w:val="clear" w:color="auto" w:fill="EAEAEA"/>
        <w:spacing w:after="0"/>
        <w:jc w:val="center"/>
        <w:rPr>
          <w:rFonts w:ascii="Arial" w:hAnsi="Arial" w:cs="Arial"/>
          <w:sz w:val="20"/>
          <w:szCs w:val="20"/>
        </w:rPr>
      </w:pPr>
    </w:p>
    <w:p w:rsidR="00407D1B" w:rsidRPr="00AD2EA6" w:rsidRDefault="00407D1B" w:rsidP="00407D1B">
      <w:pPr>
        <w:shd w:val="clear" w:color="auto" w:fill="EAEAEA"/>
        <w:spacing w:after="0"/>
        <w:jc w:val="center"/>
        <w:rPr>
          <w:rFonts w:ascii="Arial" w:hAnsi="Arial" w:cs="Arial"/>
          <w:b/>
          <w:sz w:val="20"/>
          <w:szCs w:val="20"/>
        </w:rPr>
      </w:pPr>
      <w:bookmarkStart w:id="7" w:name="Liberação"/>
      <w:r>
        <w:rPr>
          <w:rFonts w:ascii="Arial" w:hAnsi="Arial" w:cs="Arial"/>
          <w:b/>
          <w:sz w:val="20"/>
          <w:szCs w:val="20"/>
        </w:rPr>
        <w:t>LIBERAÇÃO DA PROGRAMAÇÃO FINANCEIRA PARA FONTES DE ARRECADAÇÃO PRÓPRIAS</w:t>
      </w:r>
    </w:p>
    <w:bookmarkEnd w:id="7"/>
    <w:p w:rsidR="00407D1B" w:rsidRDefault="00407D1B" w:rsidP="00407D1B">
      <w:pPr>
        <w:shd w:val="clear" w:color="auto" w:fill="EAEAEA"/>
        <w:spacing w:after="0"/>
        <w:jc w:val="center"/>
        <w:rPr>
          <w:rFonts w:ascii="Arial" w:hAnsi="Arial" w:cs="Arial"/>
          <w:sz w:val="20"/>
          <w:szCs w:val="20"/>
        </w:rPr>
      </w:pPr>
    </w:p>
    <w:p w:rsidR="00407D1B" w:rsidRPr="006B28C5" w:rsidRDefault="00407D1B" w:rsidP="0010277B">
      <w:pPr>
        <w:spacing w:before="120" w:after="0"/>
        <w:jc w:val="both"/>
        <w:rPr>
          <w:rFonts w:ascii="Arial" w:hAnsi="Arial" w:cs="Arial"/>
          <w:sz w:val="20"/>
          <w:szCs w:val="20"/>
        </w:rPr>
      </w:pPr>
    </w:p>
    <w:p w:rsidR="0010277B" w:rsidRPr="0010277B" w:rsidRDefault="0010277B" w:rsidP="0010277B">
      <w:pPr>
        <w:spacing w:before="120" w:after="0"/>
        <w:jc w:val="both"/>
        <w:rPr>
          <w:rFonts w:ascii="Arial" w:hAnsi="Arial" w:cs="Arial"/>
        </w:rPr>
      </w:pPr>
      <w:r w:rsidRPr="0010277B">
        <w:rPr>
          <w:rFonts w:ascii="Arial" w:hAnsi="Arial" w:cs="Arial"/>
        </w:rPr>
        <w:t>No início de cada exercício financeiro são liberadas cotas de programação financeira para os órgãos nessas Fontes conforme valores determinados pelo</w:t>
      </w:r>
    </w:p>
    <w:p w:rsidR="0010277B" w:rsidRPr="0010277B" w:rsidRDefault="0010277B" w:rsidP="0010277B">
      <w:pPr>
        <w:spacing w:before="120" w:after="0"/>
        <w:jc w:val="both"/>
        <w:rPr>
          <w:rFonts w:ascii="Arial" w:hAnsi="Arial" w:cs="Arial"/>
        </w:rPr>
      </w:pPr>
      <w:r w:rsidRPr="0010277B">
        <w:rPr>
          <w:rFonts w:ascii="Arial" w:hAnsi="Arial" w:cs="Arial"/>
        </w:rPr>
        <w:t>Governador do Estado e publicados no Decreto de Programação Financeira. Liberações adicionais estão condicionadas à existência de disponibilidade</w:t>
      </w:r>
    </w:p>
    <w:p w:rsidR="0010277B" w:rsidRDefault="0010277B" w:rsidP="0010277B">
      <w:pPr>
        <w:spacing w:before="120" w:after="0"/>
        <w:jc w:val="both"/>
        <w:rPr>
          <w:rFonts w:ascii="Arial" w:hAnsi="Arial" w:cs="Arial"/>
        </w:rPr>
      </w:pPr>
      <w:r w:rsidRPr="0010277B">
        <w:rPr>
          <w:rFonts w:ascii="Arial" w:hAnsi="Arial" w:cs="Arial"/>
        </w:rPr>
        <w:t>financeira suficiente e devem ser autorizadas pelo Chefe do Poder Executivo.</w:t>
      </w:r>
    </w:p>
    <w:p w:rsidR="0010277B" w:rsidRPr="0010277B" w:rsidRDefault="0010277B" w:rsidP="0010277B">
      <w:pPr>
        <w:spacing w:before="120" w:after="0"/>
        <w:jc w:val="both"/>
        <w:rPr>
          <w:rFonts w:ascii="Arial" w:hAnsi="Arial" w:cs="Arial"/>
        </w:rPr>
      </w:pPr>
    </w:p>
    <w:p w:rsidR="0010277B" w:rsidRPr="0010277B" w:rsidRDefault="0010277B" w:rsidP="0010277B">
      <w:pPr>
        <w:spacing w:before="120" w:after="0"/>
        <w:jc w:val="both"/>
        <w:rPr>
          <w:rFonts w:ascii="Arial" w:hAnsi="Arial" w:cs="Arial"/>
        </w:rPr>
      </w:pPr>
      <w:r w:rsidRPr="0010277B">
        <w:rPr>
          <w:rFonts w:ascii="Arial" w:hAnsi="Arial" w:cs="Arial"/>
        </w:rPr>
        <w:t>Preenchidos esses requisitos, os órgãos devem encaminhar email para a Gerência de Progr</w:t>
      </w:r>
      <w:r w:rsidR="00121AA9">
        <w:rPr>
          <w:rFonts w:ascii="Arial" w:hAnsi="Arial" w:cs="Arial"/>
        </w:rPr>
        <w:t>amação Financeira (progfin@sef</w:t>
      </w:r>
      <w:r w:rsidRPr="0010277B">
        <w:rPr>
          <w:rFonts w:ascii="Arial" w:hAnsi="Arial" w:cs="Arial"/>
        </w:rPr>
        <w:t>.sc.gov.br) solicitando a</w:t>
      </w:r>
    </w:p>
    <w:p w:rsidR="00DA7AB8" w:rsidRDefault="0010277B" w:rsidP="0010277B">
      <w:pPr>
        <w:spacing w:before="120" w:after="0"/>
        <w:jc w:val="both"/>
        <w:rPr>
          <w:rFonts w:ascii="Arial" w:hAnsi="Arial" w:cs="Arial"/>
        </w:rPr>
      </w:pPr>
      <w:r w:rsidRPr="0010277B">
        <w:rPr>
          <w:rFonts w:ascii="Arial" w:hAnsi="Arial" w:cs="Arial"/>
        </w:rPr>
        <w:t>programação financeira.</w:t>
      </w:r>
    </w:p>
    <w:p w:rsidR="00121AA9" w:rsidRDefault="00121AA9" w:rsidP="0010277B">
      <w:pPr>
        <w:spacing w:before="120" w:after="0"/>
        <w:jc w:val="both"/>
        <w:rPr>
          <w:rFonts w:ascii="Arial" w:hAnsi="Arial" w:cs="Arial"/>
        </w:rPr>
      </w:pPr>
    </w:p>
    <w:p w:rsidR="00121AA9" w:rsidRDefault="00121AA9" w:rsidP="0010277B">
      <w:pPr>
        <w:spacing w:before="120" w:after="0"/>
        <w:jc w:val="both"/>
        <w:rPr>
          <w:rFonts w:ascii="Arial" w:hAnsi="Arial" w:cs="Arial"/>
        </w:rPr>
      </w:pPr>
    </w:p>
    <w:p w:rsidR="00DA7AB8" w:rsidRDefault="00DA7AB8" w:rsidP="00407D1B">
      <w:pPr>
        <w:spacing w:before="120" w:after="0"/>
        <w:jc w:val="both"/>
        <w:rPr>
          <w:rFonts w:ascii="Arial" w:hAnsi="Arial" w:cs="Arial"/>
        </w:rPr>
      </w:pPr>
    </w:p>
    <w:p w:rsidR="001413E8" w:rsidRDefault="001413E8" w:rsidP="00407D1B">
      <w:pPr>
        <w:spacing w:before="120" w:after="0"/>
        <w:jc w:val="both"/>
        <w:rPr>
          <w:rFonts w:ascii="Arial" w:hAnsi="Arial" w:cs="Arial"/>
        </w:rPr>
      </w:pPr>
    </w:p>
    <w:p w:rsidR="001413E8" w:rsidRDefault="001413E8" w:rsidP="00407D1B">
      <w:pPr>
        <w:spacing w:before="120" w:after="0"/>
        <w:jc w:val="both"/>
        <w:rPr>
          <w:rFonts w:ascii="Arial" w:hAnsi="Arial" w:cs="Arial"/>
        </w:rPr>
      </w:pPr>
    </w:p>
    <w:p w:rsidR="001413E8" w:rsidRDefault="001413E8" w:rsidP="00407D1B">
      <w:pPr>
        <w:spacing w:before="120" w:after="0"/>
        <w:jc w:val="both"/>
        <w:rPr>
          <w:rFonts w:ascii="Arial" w:hAnsi="Arial" w:cs="Arial"/>
        </w:rPr>
      </w:pPr>
    </w:p>
    <w:p w:rsidR="001413E8" w:rsidRDefault="001413E8" w:rsidP="00407D1B">
      <w:pPr>
        <w:spacing w:before="120" w:after="0"/>
        <w:jc w:val="both"/>
        <w:rPr>
          <w:rFonts w:ascii="Arial" w:hAnsi="Arial" w:cs="Arial"/>
        </w:rPr>
      </w:pPr>
    </w:p>
    <w:p w:rsidR="001413E8" w:rsidRDefault="001413E8" w:rsidP="00407D1B">
      <w:pPr>
        <w:spacing w:before="120" w:after="0"/>
        <w:jc w:val="both"/>
        <w:rPr>
          <w:rFonts w:ascii="Arial" w:hAnsi="Arial" w:cs="Arial"/>
        </w:rPr>
      </w:pPr>
    </w:p>
    <w:p w:rsidR="001413E8" w:rsidRDefault="001413E8" w:rsidP="00407D1B">
      <w:pPr>
        <w:spacing w:before="120" w:after="0"/>
        <w:jc w:val="both"/>
        <w:rPr>
          <w:rFonts w:ascii="Arial" w:hAnsi="Arial" w:cs="Arial"/>
        </w:rPr>
      </w:pPr>
    </w:p>
    <w:p w:rsidR="001413E8" w:rsidRDefault="001413E8" w:rsidP="001413E8">
      <w:pPr>
        <w:spacing w:before="120" w:after="0"/>
        <w:rPr>
          <w:rFonts w:ascii="Arial" w:hAnsi="Arial" w:cs="Arial"/>
          <w:sz w:val="20"/>
          <w:szCs w:val="20"/>
        </w:rPr>
      </w:pPr>
    </w:p>
    <w:p w:rsidR="00AC4E69" w:rsidRDefault="00AC4E69" w:rsidP="001413E8">
      <w:pPr>
        <w:spacing w:before="120" w:after="0"/>
        <w:rPr>
          <w:rFonts w:ascii="Arial" w:hAnsi="Arial" w:cs="Arial"/>
          <w:sz w:val="20"/>
          <w:szCs w:val="20"/>
        </w:rPr>
      </w:pPr>
    </w:p>
    <w:p w:rsidR="001413E8" w:rsidRDefault="001413E8" w:rsidP="001413E8">
      <w:pPr>
        <w:shd w:val="clear" w:color="auto" w:fill="EAEAEA"/>
        <w:spacing w:after="0"/>
        <w:jc w:val="center"/>
        <w:rPr>
          <w:rFonts w:ascii="Arial" w:hAnsi="Arial" w:cs="Arial"/>
          <w:sz w:val="20"/>
          <w:szCs w:val="20"/>
        </w:rPr>
      </w:pPr>
    </w:p>
    <w:p w:rsidR="001413E8" w:rsidRPr="00AD2EA6" w:rsidRDefault="001413E8" w:rsidP="001413E8">
      <w:pPr>
        <w:shd w:val="clear" w:color="auto" w:fill="EAEAEA"/>
        <w:spacing w:after="0"/>
        <w:jc w:val="center"/>
        <w:rPr>
          <w:rFonts w:ascii="Arial" w:hAnsi="Arial" w:cs="Arial"/>
          <w:b/>
          <w:sz w:val="20"/>
          <w:szCs w:val="20"/>
        </w:rPr>
      </w:pPr>
      <w:bookmarkStart w:id="8" w:name="superávit"/>
      <w:r>
        <w:rPr>
          <w:rFonts w:ascii="Arial" w:hAnsi="Arial" w:cs="Arial"/>
          <w:b/>
          <w:sz w:val="20"/>
          <w:szCs w:val="20"/>
        </w:rPr>
        <w:t>LIBERAÇÃO DA PROGRAMAÇÃO FINANCEIRA PARA FONTES DE SUPERÁVIT</w:t>
      </w:r>
    </w:p>
    <w:p w:rsidR="001413E8" w:rsidRDefault="001413E8" w:rsidP="001413E8">
      <w:pPr>
        <w:shd w:val="clear" w:color="auto" w:fill="EAEAEA"/>
        <w:spacing w:after="0"/>
        <w:jc w:val="center"/>
        <w:rPr>
          <w:rFonts w:ascii="Arial" w:hAnsi="Arial" w:cs="Arial"/>
          <w:sz w:val="20"/>
          <w:szCs w:val="20"/>
        </w:rPr>
      </w:pPr>
    </w:p>
    <w:bookmarkEnd w:id="8"/>
    <w:p w:rsidR="001413E8" w:rsidRPr="006B28C5" w:rsidRDefault="001413E8" w:rsidP="001413E8">
      <w:pPr>
        <w:spacing w:before="120" w:after="0"/>
        <w:rPr>
          <w:rFonts w:ascii="Arial" w:hAnsi="Arial" w:cs="Arial"/>
          <w:sz w:val="20"/>
          <w:szCs w:val="20"/>
        </w:rPr>
      </w:pPr>
    </w:p>
    <w:p w:rsidR="007332E9" w:rsidRDefault="007332E9" w:rsidP="00407D1B">
      <w:pPr>
        <w:spacing w:before="120" w:after="0"/>
        <w:jc w:val="both"/>
        <w:rPr>
          <w:rFonts w:ascii="Arial" w:hAnsi="Arial" w:cs="Arial"/>
        </w:rPr>
      </w:pPr>
      <w:r>
        <w:rPr>
          <w:rFonts w:ascii="Arial" w:hAnsi="Arial" w:cs="Arial"/>
        </w:rPr>
        <w:t>Para liberação da programação financeira referente a Fontes de Superávit, primeiro deve-se criar o orçamento no SIGEF.</w:t>
      </w:r>
    </w:p>
    <w:p w:rsidR="007332E9" w:rsidRDefault="007332E9" w:rsidP="00407D1B">
      <w:pPr>
        <w:spacing w:before="120" w:after="0"/>
        <w:jc w:val="both"/>
        <w:rPr>
          <w:rFonts w:ascii="Arial" w:hAnsi="Arial" w:cs="Arial"/>
        </w:rPr>
      </w:pPr>
    </w:p>
    <w:p w:rsidR="007332E9" w:rsidRDefault="007332E9" w:rsidP="00407D1B">
      <w:pPr>
        <w:spacing w:before="120" w:after="0"/>
        <w:jc w:val="both"/>
        <w:rPr>
          <w:rFonts w:ascii="Arial" w:hAnsi="Arial" w:cs="Arial"/>
        </w:rPr>
      </w:pPr>
      <w:r>
        <w:rPr>
          <w:rFonts w:ascii="Arial" w:hAnsi="Arial" w:cs="Arial"/>
        </w:rPr>
        <w:t>Após essa etapa, a Unidade Gestora deve entrar em contato com a Gerência de Programação Financeira (</w:t>
      </w:r>
      <w:hyperlink r:id="rId24" w:history="1">
        <w:r w:rsidRPr="00DA5123">
          <w:rPr>
            <w:rStyle w:val="Hyperlink"/>
            <w:rFonts w:ascii="Arial" w:hAnsi="Arial" w:cs="Arial"/>
          </w:rPr>
          <w:t>progfin@sefaz.sc.gov.br</w:t>
        </w:r>
      </w:hyperlink>
      <w:r>
        <w:rPr>
          <w:rFonts w:ascii="Arial" w:hAnsi="Arial" w:cs="Arial"/>
        </w:rPr>
        <w:t>) para lib</w:t>
      </w:r>
      <w:r w:rsidR="005F62A9">
        <w:rPr>
          <w:rFonts w:ascii="Arial" w:hAnsi="Arial" w:cs="Arial"/>
        </w:rPr>
        <w:t>eração das cotas de programação observando os seguintes pontos:</w:t>
      </w:r>
    </w:p>
    <w:p w:rsidR="007332E9" w:rsidRDefault="007332E9" w:rsidP="00407D1B">
      <w:pPr>
        <w:spacing w:before="120" w:after="0"/>
        <w:jc w:val="both"/>
        <w:rPr>
          <w:rFonts w:ascii="Arial" w:hAnsi="Arial" w:cs="Arial"/>
        </w:rPr>
      </w:pPr>
    </w:p>
    <w:p w:rsidR="005F62A9" w:rsidRPr="005F62A9" w:rsidRDefault="005F62A9" w:rsidP="005F62A9">
      <w:pPr>
        <w:pStyle w:val="PargrafodaLista"/>
        <w:numPr>
          <w:ilvl w:val="0"/>
          <w:numId w:val="3"/>
        </w:numPr>
        <w:spacing w:before="120" w:after="0"/>
        <w:jc w:val="both"/>
        <w:rPr>
          <w:rFonts w:ascii="Arial" w:hAnsi="Arial" w:cs="Arial"/>
        </w:rPr>
      </w:pPr>
      <w:r w:rsidRPr="005F62A9">
        <w:rPr>
          <w:rFonts w:ascii="Arial" w:hAnsi="Arial" w:cs="Arial"/>
        </w:rPr>
        <w:t>É importante que as Unidades Gestoras verifiquem se a disponibilidade financeira foi convertida na fonte de recursos de superávit correspondente</w:t>
      </w:r>
      <w:r w:rsidR="00121AA9">
        <w:rPr>
          <w:rFonts w:ascii="Arial" w:hAnsi="Arial" w:cs="Arial"/>
        </w:rPr>
        <w:t>.</w:t>
      </w:r>
    </w:p>
    <w:p w:rsidR="00235BB8" w:rsidRPr="00235BB8" w:rsidRDefault="00235BB8" w:rsidP="00235BB8">
      <w:pPr>
        <w:pStyle w:val="PargrafodaLista"/>
        <w:numPr>
          <w:ilvl w:val="0"/>
          <w:numId w:val="3"/>
        </w:numPr>
        <w:spacing w:before="120" w:after="0"/>
        <w:jc w:val="both"/>
        <w:rPr>
          <w:rFonts w:ascii="Arial" w:hAnsi="Arial" w:cs="Arial"/>
        </w:rPr>
      </w:pPr>
      <w:r w:rsidRPr="00235BB8">
        <w:rPr>
          <w:rFonts w:ascii="Arial" w:hAnsi="Arial" w:cs="Arial"/>
        </w:rPr>
        <w:t>Quando o superávit for com recursos do Programa PACTO por Santa Catarina, a solicitação da programação financeira deve ser encaminhada</w:t>
      </w:r>
    </w:p>
    <w:p w:rsidR="00235BB8" w:rsidRDefault="00235BB8" w:rsidP="00235BB8">
      <w:pPr>
        <w:pStyle w:val="PargrafodaLista"/>
        <w:spacing w:before="120" w:after="0"/>
        <w:ind w:left="1080"/>
        <w:jc w:val="both"/>
        <w:rPr>
          <w:rFonts w:ascii="Arial" w:hAnsi="Arial" w:cs="Arial"/>
        </w:rPr>
      </w:pPr>
      <w:r w:rsidRPr="00235BB8">
        <w:rPr>
          <w:rFonts w:ascii="Arial" w:hAnsi="Arial" w:cs="Arial"/>
        </w:rPr>
        <w:t>pela equipe que realiza a gestão de recursos do PACT</w:t>
      </w:r>
      <w:r w:rsidR="00121AA9">
        <w:rPr>
          <w:rFonts w:ascii="Arial" w:hAnsi="Arial" w:cs="Arial"/>
        </w:rPr>
        <w:t>O na Secretaria do Planejamento.</w:t>
      </w:r>
    </w:p>
    <w:p w:rsidR="00235BB8" w:rsidRPr="00235BB8" w:rsidRDefault="00773583" w:rsidP="00235BB8">
      <w:pPr>
        <w:pStyle w:val="PargrafodaLista"/>
        <w:numPr>
          <w:ilvl w:val="0"/>
          <w:numId w:val="3"/>
        </w:numPr>
        <w:spacing w:before="120" w:after="0"/>
        <w:jc w:val="both"/>
        <w:rPr>
          <w:rFonts w:ascii="Arial" w:hAnsi="Arial" w:cs="Arial"/>
        </w:rPr>
      </w:pPr>
      <w:r>
        <w:rPr>
          <w:rFonts w:ascii="Arial" w:hAnsi="Arial" w:cs="Arial"/>
        </w:rPr>
        <w:t>Valores de restos a pagar que sejam cancelados durante o exercício só podem ser convertidos em superávit se forem recursos de convênios ou financiamentos. Restos a pagar cancelados em outras fontes de recurso só poderão ser aproveitados no superávit do exercício com autorização do Secretário da Fazenda.</w:t>
      </w:r>
    </w:p>
    <w:p w:rsidR="00D767F5" w:rsidRDefault="00D767F5" w:rsidP="00407D1B">
      <w:pPr>
        <w:spacing w:before="120" w:after="0"/>
        <w:jc w:val="both"/>
        <w:rPr>
          <w:rFonts w:ascii="Arial" w:hAnsi="Arial" w:cs="Arial"/>
        </w:rPr>
      </w:pPr>
    </w:p>
    <w:p w:rsidR="00D767F5" w:rsidRDefault="00D767F5" w:rsidP="00407D1B">
      <w:pPr>
        <w:spacing w:before="120" w:after="0"/>
        <w:jc w:val="both"/>
        <w:rPr>
          <w:rFonts w:ascii="Arial" w:hAnsi="Arial" w:cs="Arial"/>
        </w:rPr>
      </w:pPr>
    </w:p>
    <w:p w:rsidR="00D767F5" w:rsidRDefault="00D767F5" w:rsidP="00407D1B">
      <w:pPr>
        <w:spacing w:before="120" w:after="0"/>
        <w:jc w:val="both"/>
        <w:rPr>
          <w:rFonts w:ascii="Arial" w:hAnsi="Arial" w:cs="Arial"/>
        </w:rPr>
      </w:pPr>
    </w:p>
    <w:p w:rsidR="00D767F5" w:rsidRDefault="00D767F5" w:rsidP="00407D1B">
      <w:pPr>
        <w:spacing w:before="120" w:after="0"/>
        <w:jc w:val="both"/>
        <w:rPr>
          <w:rFonts w:ascii="Arial" w:hAnsi="Arial" w:cs="Arial"/>
        </w:rPr>
      </w:pPr>
    </w:p>
    <w:p w:rsidR="00D767F5" w:rsidRDefault="00D767F5" w:rsidP="00407D1B">
      <w:pPr>
        <w:spacing w:before="120" w:after="0"/>
        <w:jc w:val="both"/>
        <w:rPr>
          <w:rFonts w:ascii="Arial" w:hAnsi="Arial" w:cs="Arial"/>
        </w:rPr>
      </w:pPr>
    </w:p>
    <w:p w:rsidR="00437510" w:rsidRDefault="00437510" w:rsidP="00407D1B">
      <w:pPr>
        <w:spacing w:before="120" w:after="0"/>
        <w:jc w:val="both"/>
        <w:rPr>
          <w:rFonts w:ascii="Arial" w:hAnsi="Arial" w:cs="Arial"/>
        </w:rPr>
      </w:pPr>
    </w:p>
    <w:p w:rsidR="00437510" w:rsidRDefault="00437510" w:rsidP="00407D1B">
      <w:pPr>
        <w:spacing w:before="120" w:after="0"/>
        <w:jc w:val="both"/>
        <w:rPr>
          <w:rFonts w:ascii="Arial" w:hAnsi="Arial" w:cs="Arial"/>
        </w:rPr>
      </w:pPr>
    </w:p>
    <w:p w:rsidR="00437510" w:rsidRDefault="00437510" w:rsidP="00407D1B">
      <w:pPr>
        <w:spacing w:before="120" w:after="0"/>
        <w:jc w:val="both"/>
        <w:rPr>
          <w:rFonts w:ascii="Arial" w:hAnsi="Arial" w:cs="Arial"/>
        </w:rPr>
      </w:pPr>
    </w:p>
    <w:p w:rsidR="00892689" w:rsidRDefault="00892689" w:rsidP="00106AF2">
      <w:pPr>
        <w:shd w:val="clear" w:color="auto" w:fill="EAEAEA"/>
        <w:spacing w:after="0"/>
        <w:jc w:val="center"/>
        <w:rPr>
          <w:rFonts w:ascii="Arial" w:hAnsi="Arial" w:cs="Arial"/>
          <w:sz w:val="20"/>
          <w:szCs w:val="20"/>
        </w:rPr>
      </w:pPr>
    </w:p>
    <w:p w:rsidR="00106AF2" w:rsidRPr="00AD2EA6" w:rsidRDefault="00892689" w:rsidP="00106AF2">
      <w:pPr>
        <w:shd w:val="clear" w:color="auto" w:fill="EAEAEA"/>
        <w:spacing w:after="0"/>
        <w:jc w:val="center"/>
        <w:rPr>
          <w:rFonts w:ascii="Arial" w:hAnsi="Arial" w:cs="Arial"/>
          <w:b/>
          <w:sz w:val="20"/>
          <w:szCs w:val="20"/>
        </w:rPr>
      </w:pPr>
      <w:r>
        <w:rPr>
          <w:rFonts w:ascii="Arial" w:hAnsi="Arial" w:cs="Arial"/>
          <w:b/>
          <w:sz w:val="20"/>
          <w:szCs w:val="20"/>
        </w:rPr>
        <w:t>RECEITA VERSUS PROGRAMAÇÃO FINANCEIRA</w:t>
      </w:r>
    </w:p>
    <w:p w:rsidR="00106AF2" w:rsidRDefault="00106AF2" w:rsidP="00106AF2">
      <w:pPr>
        <w:shd w:val="clear" w:color="auto" w:fill="EAEAEA"/>
        <w:spacing w:after="0"/>
        <w:jc w:val="center"/>
        <w:rPr>
          <w:rFonts w:ascii="Arial" w:hAnsi="Arial" w:cs="Arial"/>
          <w:sz w:val="20"/>
          <w:szCs w:val="20"/>
        </w:rPr>
      </w:pPr>
    </w:p>
    <w:p w:rsidR="00AC4E69" w:rsidRDefault="00AC4E69" w:rsidP="00407D1B">
      <w:pPr>
        <w:spacing w:before="120" w:after="0"/>
        <w:jc w:val="both"/>
        <w:rPr>
          <w:rFonts w:ascii="Arial" w:hAnsi="Arial" w:cs="Arial"/>
        </w:rPr>
      </w:pPr>
    </w:p>
    <w:p w:rsidR="00106AF2" w:rsidRDefault="00892689" w:rsidP="00407D1B">
      <w:pPr>
        <w:spacing w:before="120" w:after="0"/>
        <w:jc w:val="both"/>
        <w:rPr>
          <w:rFonts w:ascii="Arial" w:hAnsi="Arial" w:cs="Arial"/>
        </w:rPr>
      </w:pPr>
      <w:r>
        <w:rPr>
          <w:rFonts w:ascii="Arial" w:hAnsi="Arial" w:cs="Arial"/>
        </w:rPr>
        <w:t>Nas solicitações de cotas adicionais em fontes de receita próprias, os órg</w:t>
      </w:r>
      <w:r w:rsidR="00E140FD">
        <w:rPr>
          <w:rFonts w:ascii="Arial" w:hAnsi="Arial" w:cs="Arial"/>
        </w:rPr>
        <w:t>ãos devem considerar</w:t>
      </w:r>
      <w:r w:rsidR="00890C1B">
        <w:rPr>
          <w:rFonts w:ascii="Arial" w:hAnsi="Arial" w:cs="Arial"/>
        </w:rPr>
        <w:t xml:space="preserve"> o quanto possuem de arrecadação mensal e compará-la com a programação financeira já liberada. Esta verificação tem como objetivo manter a fonte de recurso do órgão equilibrada, conforme exigido pela Lei de Responsabilidade Fiscal. </w:t>
      </w:r>
    </w:p>
    <w:p w:rsidR="00B21B80" w:rsidRDefault="00B21B80" w:rsidP="00407D1B">
      <w:pPr>
        <w:spacing w:before="120" w:after="0"/>
        <w:jc w:val="both"/>
        <w:rPr>
          <w:rFonts w:ascii="Arial" w:hAnsi="Arial" w:cs="Arial"/>
        </w:rPr>
      </w:pPr>
    </w:p>
    <w:p w:rsidR="00B21B80" w:rsidRDefault="00D66824" w:rsidP="00407D1B">
      <w:pPr>
        <w:spacing w:before="120" w:after="0"/>
        <w:jc w:val="both"/>
        <w:rPr>
          <w:rFonts w:ascii="Arial" w:hAnsi="Arial" w:cs="Arial"/>
        </w:rPr>
      </w:pPr>
      <w:r>
        <w:rPr>
          <w:rFonts w:ascii="Arial" w:hAnsi="Arial" w:cs="Arial"/>
        </w:rPr>
        <w:t>Apresentamos um exemplo utilizando a Unidade Gestora 440023 para mostrar como realizar esta avaliação:</w:t>
      </w:r>
    </w:p>
    <w:p w:rsidR="00B21B80" w:rsidRDefault="00B21B80" w:rsidP="00B21B80">
      <w:pPr>
        <w:pStyle w:val="PargrafodaLista"/>
        <w:numPr>
          <w:ilvl w:val="0"/>
          <w:numId w:val="4"/>
        </w:numPr>
        <w:spacing w:before="120" w:after="0"/>
        <w:jc w:val="both"/>
        <w:rPr>
          <w:rFonts w:ascii="Arial" w:hAnsi="Arial" w:cs="Arial"/>
        </w:rPr>
      </w:pPr>
      <w:r>
        <w:rPr>
          <w:rFonts w:ascii="Arial" w:hAnsi="Arial" w:cs="Arial"/>
        </w:rPr>
        <w:t xml:space="preserve">Para consultar a receita do órgão é possível utilizar a funcionalidade do SIGEF: </w:t>
      </w:r>
      <w:r w:rsidRPr="004B50D0">
        <w:rPr>
          <w:rFonts w:ascii="Arial" w:hAnsi="Arial" w:cs="Arial"/>
          <w:b/>
        </w:rPr>
        <w:t>“Imprimir Arrecadação Fonte Receita”</w:t>
      </w:r>
      <w:r>
        <w:rPr>
          <w:rFonts w:ascii="Arial" w:hAnsi="Arial" w:cs="Arial"/>
        </w:rPr>
        <w:t xml:space="preserve"> no módulo </w:t>
      </w:r>
      <w:r w:rsidRPr="004B50D0">
        <w:rPr>
          <w:rFonts w:ascii="Arial" w:hAnsi="Arial" w:cs="Arial"/>
          <w:b/>
        </w:rPr>
        <w:t>FIN – SAT – Arrecadação</w:t>
      </w:r>
      <w:r>
        <w:rPr>
          <w:rFonts w:ascii="Arial" w:hAnsi="Arial" w:cs="Arial"/>
        </w:rPr>
        <w:t xml:space="preserve"> conforme mostram as imagens a seguir:</w:t>
      </w:r>
    </w:p>
    <w:p w:rsidR="00B21B80" w:rsidRDefault="00B21B80" w:rsidP="00B21B80">
      <w:pPr>
        <w:pStyle w:val="PargrafodaLista"/>
        <w:spacing w:before="120" w:after="0"/>
        <w:ind w:left="1080"/>
        <w:jc w:val="both"/>
        <w:rPr>
          <w:rFonts w:ascii="Arial" w:hAnsi="Arial" w:cs="Arial"/>
        </w:rPr>
      </w:pPr>
    </w:p>
    <w:p w:rsidR="00B21B80" w:rsidRPr="00B21B80" w:rsidRDefault="00B21B80" w:rsidP="00B21B80">
      <w:pPr>
        <w:pStyle w:val="PargrafodaLista"/>
        <w:spacing w:before="120" w:after="0"/>
        <w:ind w:left="108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106AF2" w:rsidP="00407D1B">
      <w:pPr>
        <w:spacing w:before="120" w:after="0"/>
        <w:jc w:val="both"/>
        <w:rPr>
          <w:rFonts w:ascii="Arial" w:hAnsi="Arial" w:cs="Arial"/>
        </w:rPr>
      </w:pPr>
    </w:p>
    <w:p w:rsidR="00106AF2" w:rsidRDefault="00B21B80" w:rsidP="00B21B80">
      <w:pPr>
        <w:pStyle w:val="PargrafodaLista"/>
        <w:numPr>
          <w:ilvl w:val="0"/>
          <w:numId w:val="5"/>
        </w:numPr>
        <w:spacing w:before="120" w:after="0"/>
        <w:jc w:val="both"/>
        <w:rPr>
          <w:rFonts w:ascii="Arial" w:hAnsi="Arial" w:cs="Arial"/>
        </w:rPr>
      </w:pPr>
      <w:r>
        <w:rPr>
          <w:rFonts w:ascii="Arial" w:hAnsi="Arial" w:cs="Arial"/>
        </w:rPr>
        <w:t>Selecionar a funcionalidade “Imprimir Arrecadação Fonte Receita”</w:t>
      </w:r>
    </w:p>
    <w:p w:rsidR="00B21B80" w:rsidRPr="00B21B80" w:rsidRDefault="00B21B80" w:rsidP="00B21B80">
      <w:pPr>
        <w:spacing w:before="120" w:after="0"/>
        <w:ind w:left="360"/>
        <w:jc w:val="center"/>
        <w:rPr>
          <w:rFonts w:ascii="Arial" w:hAnsi="Arial" w:cs="Arial"/>
        </w:rPr>
      </w:pPr>
    </w:p>
    <w:p w:rsidR="00106AF2" w:rsidRDefault="00B21B80" w:rsidP="00B21B80">
      <w:pPr>
        <w:pStyle w:val="PargrafodaLista"/>
        <w:numPr>
          <w:ilvl w:val="0"/>
          <w:numId w:val="5"/>
        </w:numPr>
        <w:spacing w:before="120" w:after="0"/>
        <w:jc w:val="both"/>
        <w:rPr>
          <w:rFonts w:ascii="Arial" w:hAnsi="Arial" w:cs="Arial"/>
        </w:rPr>
      </w:pPr>
      <w:r>
        <w:rPr>
          <w:rFonts w:ascii="Arial" w:hAnsi="Arial" w:cs="Arial"/>
        </w:rPr>
        <w:t xml:space="preserve">Preencher os campos </w:t>
      </w:r>
      <w:r w:rsidRPr="004B50D0">
        <w:rPr>
          <w:rFonts w:ascii="Arial" w:hAnsi="Arial" w:cs="Arial"/>
          <w:b/>
        </w:rPr>
        <w:t>Unidade Gestora</w:t>
      </w:r>
      <w:r>
        <w:rPr>
          <w:rFonts w:ascii="Arial" w:hAnsi="Arial" w:cs="Arial"/>
        </w:rPr>
        <w:t xml:space="preserve"> e </w:t>
      </w:r>
      <w:r w:rsidRPr="004B50D0">
        <w:rPr>
          <w:rFonts w:ascii="Arial" w:hAnsi="Arial" w:cs="Arial"/>
          <w:b/>
        </w:rPr>
        <w:t>Fonte de Recurso</w:t>
      </w:r>
      <w:r>
        <w:rPr>
          <w:rFonts w:ascii="Arial" w:hAnsi="Arial" w:cs="Arial"/>
        </w:rPr>
        <w:t xml:space="preserve"> e clicar no botão </w:t>
      </w:r>
      <w:r w:rsidRPr="004B50D0">
        <w:rPr>
          <w:rFonts w:ascii="Arial" w:hAnsi="Arial" w:cs="Arial"/>
          <w:b/>
        </w:rPr>
        <w:t>“Imprimir”</w:t>
      </w:r>
    </w:p>
    <w:p w:rsidR="00B21B80" w:rsidRPr="00B21B80" w:rsidRDefault="00121AA9" w:rsidP="00B21B80">
      <w:pPr>
        <w:pStyle w:val="PargrafodaLista"/>
        <w:spacing w:before="120" w:after="0"/>
        <w:jc w:val="center"/>
        <w:rPr>
          <w:rFonts w:ascii="Arial" w:hAnsi="Arial" w:cs="Arial"/>
        </w:rPr>
      </w:pPr>
      <w:r>
        <w:rPr>
          <w:noProof/>
        </w:rPr>
        <w:drawing>
          <wp:inline distT="0" distB="0" distL="0" distR="0" wp14:anchorId="46863701" wp14:editId="277BA597">
            <wp:extent cx="8837930" cy="3963878"/>
            <wp:effectExtent l="0" t="0" r="127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43689" cy="3966461"/>
                    </a:xfrm>
                    <a:prstGeom prst="rect">
                      <a:avLst/>
                    </a:prstGeom>
                  </pic:spPr>
                </pic:pic>
              </a:graphicData>
            </a:graphic>
          </wp:inline>
        </w:drawing>
      </w:r>
    </w:p>
    <w:p w:rsidR="00106AF2" w:rsidRDefault="00106AF2" w:rsidP="00407D1B">
      <w:pPr>
        <w:spacing w:before="120" w:after="0"/>
        <w:jc w:val="both"/>
        <w:rPr>
          <w:rFonts w:ascii="Arial" w:hAnsi="Arial" w:cs="Arial"/>
        </w:rPr>
      </w:pPr>
    </w:p>
    <w:p w:rsidR="00106AF2" w:rsidRPr="00B21B80" w:rsidRDefault="00B21B80" w:rsidP="00B21B80">
      <w:pPr>
        <w:pStyle w:val="PargrafodaLista"/>
        <w:numPr>
          <w:ilvl w:val="0"/>
          <w:numId w:val="5"/>
        </w:numPr>
        <w:spacing w:before="120" w:after="0"/>
        <w:jc w:val="both"/>
        <w:rPr>
          <w:rFonts w:ascii="Arial" w:hAnsi="Arial" w:cs="Arial"/>
        </w:rPr>
      </w:pPr>
      <w:r>
        <w:rPr>
          <w:rFonts w:ascii="Arial" w:hAnsi="Arial" w:cs="Arial"/>
        </w:rPr>
        <w:t xml:space="preserve">Visão do relatório </w:t>
      </w:r>
    </w:p>
    <w:p w:rsidR="00106AF2" w:rsidRDefault="00B21B80" w:rsidP="00B21B80">
      <w:pPr>
        <w:spacing w:before="120" w:after="0"/>
        <w:jc w:val="center"/>
        <w:rPr>
          <w:rFonts w:ascii="Arial" w:hAnsi="Arial" w:cs="Arial"/>
        </w:rPr>
      </w:pPr>
      <w:r>
        <w:rPr>
          <w:rFonts w:ascii="Arial" w:hAnsi="Arial" w:cs="Arial"/>
          <w:noProof/>
        </w:rPr>
        <w:lastRenderedPageBreak/>
        <w:drawing>
          <wp:inline distT="0" distB="0" distL="0" distR="0">
            <wp:extent cx="8436334" cy="2568435"/>
            <wp:effectExtent l="0" t="0" r="3175"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3956" cy="2576845"/>
                    </a:xfrm>
                    <a:prstGeom prst="rect">
                      <a:avLst/>
                    </a:prstGeom>
                    <a:noFill/>
                    <a:ln>
                      <a:noFill/>
                    </a:ln>
                  </pic:spPr>
                </pic:pic>
              </a:graphicData>
            </a:graphic>
          </wp:inline>
        </w:drawing>
      </w:r>
    </w:p>
    <w:p w:rsidR="00222FF5" w:rsidRDefault="00222FF5" w:rsidP="00222FF5">
      <w:pPr>
        <w:spacing w:before="120" w:after="0"/>
        <w:rPr>
          <w:rFonts w:ascii="Arial" w:hAnsi="Arial" w:cs="Arial"/>
        </w:rPr>
      </w:pPr>
    </w:p>
    <w:p w:rsidR="00222FF5" w:rsidRDefault="00222FF5" w:rsidP="00222FF5">
      <w:pPr>
        <w:pStyle w:val="PargrafodaLista"/>
        <w:numPr>
          <w:ilvl w:val="0"/>
          <w:numId w:val="4"/>
        </w:numPr>
        <w:spacing w:before="120" w:after="0"/>
        <w:rPr>
          <w:rFonts w:ascii="Arial" w:hAnsi="Arial" w:cs="Arial"/>
        </w:rPr>
      </w:pPr>
      <w:r>
        <w:rPr>
          <w:rFonts w:ascii="Arial" w:hAnsi="Arial" w:cs="Arial"/>
        </w:rPr>
        <w:t>Comparar a receita acumulada com a programação financeira:</w:t>
      </w:r>
    </w:p>
    <w:p w:rsidR="00222FF5" w:rsidRDefault="00222FF5" w:rsidP="00222FF5">
      <w:pPr>
        <w:pStyle w:val="PargrafodaLista"/>
        <w:spacing w:before="120" w:after="0"/>
        <w:ind w:left="1080"/>
        <w:rPr>
          <w:rFonts w:ascii="Arial" w:hAnsi="Arial" w:cs="Arial"/>
        </w:rPr>
      </w:pPr>
    </w:p>
    <w:p w:rsidR="00306D3C" w:rsidRPr="002E0524" w:rsidRDefault="00222FF5" w:rsidP="00222FF5">
      <w:pPr>
        <w:pStyle w:val="PargrafodaLista"/>
        <w:spacing w:before="120" w:after="0"/>
        <w:ind w:left="1080"/>
        <w:rPr>
          <w:rFonts w:ascii="Arial" w:hAnsi="Arial" w:cs="Arial"/>
          <w:b/>
        </w:rPr>
      </w:pPr>
      <w:r>
        <w:rPr>
          <w:rFonts w:ascii="Arial" w:hAnsi="Arial" w:cs="Arial"/>
        </w:rPr>
        <w:t xml:space="preserve">A programação financeira do órgão pode ser consultada utilizando o </w:t>
      </w:r>
      <w:r w:rsidRPr="004B50D0">
        <w:rPr>
          <w:rFonts w:ascii="Arial" w:hAnsi="Arial" w:cs="Arial"/>
          <w:b/>
        </w:rPr>
        <w:t>Relatório da Programação Financeira</w:t>
      </w:r>
      <w:r>
        <w:rPr>
          <w:rFonts w:ascii="Arial" w:hAnsi="Arial" w:cs="Arial"/>
        </w:rPr>
        <w:t xml:space="preserve">, apresentado na </w:t>
      </w:r>
      <w:r w:rsidRPr="002E0524">
        <w:rPr>
          <w:rFonts w:ascii="Arial" w:hAnsi="Arial" w:cs="Arial"/>
          <w:b/>
        </w:rPr>
        <w:t>página 12</w:t>
      </w:r>
      <w:r w:rsidR="004B50D0" w:rsidRPr="002E0524">
        <w:rPr>
          <w:rFonts w:ascii="Arial" w:hAnsi="Arial" w:cs="Arial"/>
          <w:b/>
        </w:rPr>
        <w:t xml:space="preserve"> deste manual.</w:t>
      </w:r>
    </w:p>
    <w:p w:rsidR="00222FF5" w:rsidRDefault="00306D3C" w:rsidP="00306D3C">
      <w:pPr>
        <w:pStyle w:val="PargrafodaLista"/>
        <w:spacing w:before="120" w:after="0"/>
        <w:ind w:left="1080"/>
        <w:jc w:val="center"/>
        <w:rPr>
          <w:rFonts w:ascii="Arial" w:hAnsi="Arial" w:cs="Arial"/>
        </w:rPr>
      </w:pPr>
      <w:r>
        <w:rPr>
          <w:rFonts w:ascii="Arial" w:hAnsi="Arial" w:cs="Arial"/>
          <w:noProof/>
        </w:rPr>
        <w:lastRenderedPageBreak/>
        <w:drawing>
          <wp:inline distT="0" distB="0" distL="0" distR="0">
            <wp:extent cx="7600626" cy="2496710"/>
            <wp:effectExtent l="0" t="0" r="63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05760" cy="2498396"/>
                    </a:xfrm>
                    <a:prstGeom prst="rect">
                      <a:avLst/>
                    </a:prstGeom>
                    <a:noFill/>
                    <a:ln>
                      <a:noFill/>
                    </a:ln>
                  </pic:spPr>
                </pic:pic>
              </a:graphicData>
            </a:graphic>
          </wp:inline>
        </w:drawing>
      </w:r>
    </w:p>
    <w:p w:rsidR="00106AF2" w:rsidRDefault="00106AF2" w:rsidP="00407D1B">
      <w:pPr>
        <w:spacing w:before="120" w:after="0"/>
        <w:jc w:val="both"/>
        <w:rPr>
          <w:rFonts w:ascii="Arial" w:hAnsi="Arial" w:cs="Arial"/>
        </w:rPr>
      </w:pPr>
    </w:p>
    <w:p w:rsidR="00D66824" w:rsidRDefault="00306D3C" w:rsidP="00407D1B">
      <w:pPr>
        <w:spacing w:before="120" w:after="0"/>
        <w:jc w:val="both"/>
        <w:rPr>
          <w:rFonts w:ascii="Arial" w:hAnsi="Arial" w:cs="Arial"/>
        </w:rPr>
      </w:pPr>
      <w:r>
        <w:rPr>
          <w:rFonts w:ascii="Arial" w:hAnsi="Arial" w:cs="Arial"/>
        </w:rPr>
        <w:tab/>
      </w:r>
    </w:p>
    <w:p w:rsidR="00D66824" w:rsidRDefault="00D66824" w:rsidP="00407D1B">
      <w:pPr>
        <w:spacing w:before="120" w:after="0"/>
        <w:jc w:val="both"/>
        <w:rPr>
          <w:rFonts w:ascii="Arial" w:hAnsi="Arial" w:cs="Arial"/>
        </w:rPr>
      </w:pPr>
    </w:p>
    <w:p w:rsidR="00D66824" w:rsidRDefault="00D66824" w:rsidP="00407D1B">
      <w:pPr>
        <w:spacing w:before="120" w:after="0"/>
        <w:jc w:val="both"/>
        <w:rPr>
          <w:rFonts w:ascii="Arial" w:hAnsi="Arial" w:cs="Arial"/>
        </w:rPr>
      </w:pPr>
    </w:p>
    <w:p w:rsidR="00D66824" w:rsidRDefault="00D66824" w:rsidP="00407D1B">
      <w:pPr>
        <w:spacing w:before="120" w:after="0"/>
        <w:jc w:val="both"/>
        <w:rPr>
          <w:rFonts w:ascii="Arial" w:hAnsi="Arial" w:cs="Arial"/>
        </w:rPr>
      </w:pPr>
    </w:p>
    <w:p w:rsidR="00D66824" w:rsidRDefault="00D66824" w:rsidP="00407D1B">
      <w:pPr>
        <w:spacing w:before="120" w:after="0"/>
        <w:jc w:val="both"/>
        <w:rPr>
          <w:rFonts w:ascii="Arial" w:hAnsi="Arial" w:cs="Arial"/>
        </w:rPr>
      </w:pPr>
    </w:p>
    <w:p w:rsidR="00D66824" w:rsidRDefault="00D66824" w:rsidP="00407D1B">
      <w:pPr>
        <w:spacing w:before="120" w:after="0"/>
        <w:jc w:val="both"/>
        <w:rPr>
          <w:rFonts w:ascii="Arial" w:hAnsi="Arial" w:cs="Arial"/>
        </w:rPr>
      </w:pPr>
    </w:p>
    <w:p w:rsidR="00D66824" w:rsidRDefault="00D66824" w:rsidP="00407D1B">
      <w:pPr>
        <w:spacing w:before="120" w:after="0"/>
        <w:jc w:val="both"/>
        <w:rPr>
          <w:rFonts w:ascii="Arial" w:hAnsi="Arial" w:cs="Arial"/>
        </w:rPr>
      </w:pPr>
    </w:p>
    <w:p w:rsidR="00106AF2" w:rsidRDefault="00106AF2" w:rsidP="00D66824">
      <w:pPr>
        <w:spacing w:before="120" w:after="0"/>
        <w:ind w:firstLine="708"/>
        <w:jc w:val="both"/>
        <w:rPr>
          <w:rFonts w:ascii="Arial" w:hAnsi="Arial" w:cs="Arial"/>
        </w:rPr>
      </w:pPr>
    </w:p>
    <w:p w:rsidR="00306D3C" w:rsidRDefault="00306D3C" w:rsidP="00306D3C">
      <w:pPr>
        <w:spacing w:before="120" w:after="0"/>
        <w:jc w:val="center"/>
        <w:rPr>
          <w:rFonts w:ascii="Arial" w:hAnsi="Arial" w:cs="Arial"/>
        </w:rPr>
      </w:pPr>
    </w:p>
    <w:p w:rsidR="00D767F5" w:rsidRDefault="00D66824" w:rsidP="00121AA9">
      <w:pPr>
        <w:spacing w:before="120" w:after="0"/>
        <w:jc w:val="both"/>
        <w:rPr>
          <w:rFonts w:ascii="Arial" w:hAnsi="Arial" w:cs="Arial"/>
          <w:sz w:val="20"/>
          <w:szCs w:val="20"/>
        </w:rPr>
      </w:pPr>
      <w:r>
        <w:rPr>
          <w:rFonts w:ascii="Arial" w:hAnsi="Arial" w:cs="Arial"/>
        </w:rPr>
        <w:tab/>
      </w:r>
      <w:r w:rsidR="00A36C1F">
        <w:rPr>
          <w:rFonts w:ascii="Arial" w:hAnsi="Arial" w:cs="Arial"/>
        </w:rPr>
        <w:tab/>
      </w:r>
    </w:p>
    <w:p w:rsidR="00D767F5" w:rsidRPr="00AD2EA6" w:rsidRDefault="00D767F5" w:rsidP="00D767F5">
      <w:pPr>
        <w:shd w:val="clear" w:color="auto" w:fill="EAEAEA"/>
        <w:spacing w:after="0"/>
        <w:jc w:val="center"/>
        <w:rPr>
          <w:rFonts w:ascii="Arial" w:hAnsi="Arial" w:cs="Arial"/>
          <w:b/>
          <w:sz w:val="20"/>
          <w:szCs w:val="20"/>
        </w:rPr>
      </w:pPr>
      <w:bookmarkStart w:id="9" w:name="postergação"/>
      <w:r>
        <w:rPr>
          <w:rFonts w:ascii="Arial" w:hAnsi="Arial" w:cs="Arial"/>
          <w:b/>
          <w:sz w:val="20"/>
          <w:szCs w:val="20"/>
        </w:rPr>
        <w:lastRenderedPageBreak/>
        <w:t>REMANEJAMENTO DA PROGRAMAÇÃO FINANCEIRA ENTRE OS MESES</w:t>
      </w:r>
    </w:p>
    <w:bookmarkEnd w:id="9"/>
    <w:p w:rsidR="00D767F5" w:rsidRDefault="00D767F5" w:rsidP="00D767F5">
      <w:pPr>
        <w:shd w:val="clear" w:color="auto" w:fill="EAEAEA"/>
        <w:spacing w:after="0"/>
        <w:jc w:val="center"/>
        <w:rPr>
          <w:rFonts w:ascii="Arial" w:hAnsi="Arial" w:cs="Arial"/>
          <w:sz w:val="20"/>
          <w:szCs w:val="20"/>
        </w:rPr>
      </w:pPr>
    </w:p>
    <w:p w:rsidR="00D767F5" w:rsidRDefault="00D767F5" w:rsidP="00407D1B">
      <w:pPr>
        <w:spacing w:before="120" w:after="0"/>
        <w:jc w:val="both"/>
        <w:rPr>
          <w:rFonts w:ascii="Arial" w:hAnsi="Arial" w:cs="Arial"/>
        </w:rPr>
      </w:pPr>
    </w:p>
    <w:p w:rsidR="004C339A" w:rsidRDefault="00D767F5" w:rsidP="00D767F5">
      <w:pPr>
        <w:spacing w:before="120" w:after="0"/>
        <w:jc w:val="both"/>
        <w:rPr>
          <w:rFonts w:ascii="Arial" w:hAnsi="Arial" w:cs="Arial"/>
        </w:rPr>
      </w:pPr>
      <w:r w:rsidRPr="00D767F5">
        <w:rPr>
          <w:rFonts w:ascii="Arial" w:hAnsi="Arial" w:cs="Arial"/>
        </w:rPr>
        <w:t xml:space="preserve">O remanejamento da programação financeira para outros meses pode ser feito diretamente no SIGEF utilizando a funcionalidade “Remanejar Programação Financeira”(se for orçamento da própria Unidade Gestora) ou “Remanejar Programação Financeira Descentralização”(se for orçamento recebido por descentralização de outra UG). </w:t>
      </w:r>
    </w:p>
    <w:p w:rsidR="00D767F5" w:rsidRPr="00D767F5" w:rsidRDefault="00D767F5" w:rsidP="00D767F5">
      <w:pPr>
        <w:spacing w:before="120" w:after="0"/>
        <w:jc w:val="both"/>
        <w:rPr>
          <w:rFonts w:ascii="Arial" w:hAnsi="Arial" w:cs="Arial"/>
        </w:rPr>
      </w:pPr>
      <w:r w:rsidRPr="00D767F5">
        <w:rPr>
          <w:rFonts w:ascii="Arial" w:hAnsi="Arial" w:cs="Arial"/>
        </w:rPr>
        <w:t>O sistema permite o remane</w:t>
      </w:r>
      <w:r w:rsidR="001C5D67">
        <w:rPr>
          <w:rFonts w:ascii="Arial" w:hAnsi="Arial" w:cs="Arial"/>
        </w:rPr>
        <w:t xml:space="preserve">jamento para meses posteriores </w:t>
      </w:r>
      <w:r w:rsidR="004C339A">
        <w:rPr>
          <w:rFonts w:ascii="Arial" w:hAnsi="Arial" w:cs="Arial"/>
        </w:rPr>
        <w:t xml:space="preserve">ou retornar a cota para um mês anterior desde que o mês de origem da cota não seja </w:t>
      </w:r>
      <w:r w:rsidR="00B4690A">
        <w:rPr>
          <w:rFonts w:ascii="Arial" w:hAnsi="Arial" w:cs="Arial"/>
        </w:rPr>
        <w:t>posterior a</w:t>
      </w:r>
      <w:r w:rsidR="004C339A">
        <w:rPr>
          <w:rFonts w:ascii="Arial" w:hAnsi="Arial" w:cs="Arial"/>
        </w:rPr>
        <w:t>o m</w:t>
      </w:r>
      <w:r w:rsidR="00B4690A">
        <w:rPr>
          <w:rFonts w:ascii="Arial" w:hAnsi="Arial" w:cs="Arial"/>
        </w:rPr>
        <w:t>ês corrente.</w:t>
      </w:r>
      <w:r w:rsidR="004C339A">
        <w:rPr>
          <w:rFonts w:ascii="Arial" w:hAnsi="Arial" w:cs="Arial"/>
        </w:rPr>
        <w:t xml:space="preserve"> </w:t>
      </w:r>
    </w:p>
    <w:p w:rsidR="00D767F5" w:rsidRDefault="00D767F5" w:rsidP="00D767F5">
      <w:pPr>
        <w:spacing w:before="120" w:after="0"/>
        <w:jc w:val="both"/>
        <w:rPr>
          <w:rFonts w:ascii="Arial" w:hAnsi="Arial" w:cs="Arial"/>
        </w:rPr>
      </w:pPr>
      <w:r w:rsidRPr="00D767F5">
        <w:rPr>
          <w:rFonts w:ascii="Arial" w:hAnsi="Arial" w:cs="Arial"/>
        </w:rPr>
        <w:t>Caso a cota seja remanejada, por engano, para um mês posterior e seja necessário retornar a programação financeira para o mês original a Unidade Gestora deve entrar em contato com a Gerência de Programação Financeira da DITE e informar o número da Nota de Lançamento para que o cronograma possa ser ajustado.</w:t>
      </w:r>
      <w:r w:rsidR="00CE21AF">
        <w:rPr>
          <w:rFonts w:ascii="Arial" w:hAnsi="Arial" w:cs="Arial"/>
        </w:rPr>
        <w:t xml:space="preserve"> </w:t>
      </w:r>
      <w:r w:rsidR="00CE21AF" w:rsidRPr="00CE21AF">
        <w:rPr>
          <w:rFonts w:ascii="Arial" w:hAnsi="Arial" w:cs="Arial"/>
          <w:b/>
          <w:u w:val="single"/>
        </w:rPr>
        <w:t>Se a cota remanejada por engano for proveniente de descentralização de outro órgão (não o Tesouro)</w:t>
      </w:r>
      <w:r w:rsidR="00CE21AF">
        <w:rPr>
          <w:rFonts w:ascii="Arial" w:hAnsi="Arial" w:cs="Arial"/>
        </w:rPr>
        <w:t>, a Unidade gestora deve entrar em contato com o órgão que efetuou a descentralização para efetuar os ajustes necessário</w:t>
      </w:r>
      <w:r w:rsidR="00905BA8">
        <w:rPr>
          <w:rFonts w:ascii="Arial" w:hAnsi="Arial" w:cs="Arial"/>
        </w:rPr>
        <w:t>s</w:t>
      </w:r>
      <w:r w:rsidR="00CE21AF">
        <w:rPr>
          <w:rFonts w:ascii="Arial" w:hAnsi="Arial" w:cs="Arial"/>
        </w:rPr>
        <w:t>.</w:t>
      </w:r>
    </w:p>
    <w:p w:rsidR="00CE21AF" w:rsidRDefault="00CE21AF" w:rsidP="00D767F5">
      <w:pPr>
        <w:spacing w:before="120" w:after="0"/>
        <w:jc w:val="both"/>
        <w:rPr>
          <w:rFonts w:ascii="Arial" w:hAnsi="Arial" w:cs="Arial"/>
        </w:rPr>
      </w:pPr>
      <w:r>
        <w:rPr>
          <w:rFonts w:ascii="Arial" w:hAnsi="Arial" w:cs="Arial"/>
        </w:rPr>
        <w:t xml:space="preserve">Os procedimentos para remanejamento estão descritos </w:t>
      </w:r>
      <w:r w:rsidR="00E34680">
        <w:rPr>
          <w:rFonts w:ascii="Arial" w:hAnsi="Arial" w:cs="Arial"/>
        </w:rPr>
        <w:t xml:space="preserve">nas páginas </w:t>
      </w:r>
      <w:r>
        <w:rPr>
          <w:rFonts w:ascii="Arial" w:hAnsi="Arial" w:cs="Arial"/>
        </w:rPr>
        <w:t>a seguir:</w:t>
      </w:r>
    </w:p>
    <w:p w:rsidR="00121AA9" w:rsidRDefault="00121AA9" w:rsidP="00D767F5">
      <w:pPr>
        <w:spacing w:before="120" w:after="0"/>
        <w:jc w:val="both"/>
        <w:rPr>
          <w:rFonts w:ascii="Arial" w:hAnsi="Arial" w:cs="Arial"/>
        </w:rPr>
      </w:pPr>
    </w:p>
    <w:p w:rsidR="00121AA9" w:rsidRDefault="00121AA9" w:rsidP="00D767F5">
      <w:pPr>
        <w:spacing w:before="120" w:after="0"/>
        <w:jc w:val="both"/>
        <w:rPr>
          <w:rFonts w:ascii="Arial" w:hAnsi="Arial" w:cs="Arial"/>
        </w:rPr>
      </w:pPr>
    </w:p>
    <w:p w:rsidR="00CE21AF" w:rsidRDefault="00CE21AF" w:rsidP="00D767F5">
      <w:pPr>
        <w:spacing w:before="120" w:after="0"/>
        <w:jc w:val="both"/>
        <w:rPr>
          <w:rFonts w:ascii="Arial" w:hAnsi="Arial" w:cs="Arial"/>
        </w:rPr>
      </w:pPr>
    </w:p>
    <w:p w:rsidR="00D767F5" w:rsidRDefault="00D767F5" w:rsidP="00407D1B">
      <w:pPr>
        <w:spacing w:before="120" w:after="0"/>
        <w:jc w:val="both"/>
        <w:rPr>
          <w:rFonts w:ascii="Arial" w:hAnsi="Arial" w:cs="Arial"/>
        </w:rPr>
      </w:pPr>
    </w:p>
    <w:p w:rsidR="00D767F5" w:rsidRDefault="00D767F5" w:rsidP="00407D1B">
      <w:pPr>
        <w:spacing w:before="120" w:after="0"/>
        <w:jc w:val="both"/>
        <w:rPr>
          <w:rFonts w:ascii="Arial" w:hAnsi="Arial" w:cs="Arial"/>
        </w:rPr>
      </w:pPr>
    </w:p>
    <w:p w:rsidR="00D767F5" w:rsidRDefault="00D767F5" w:rsidP="00407D1B">
      <w:pPr>
        <w:spacing w:before="120" w:after="0"/>
        <w:jc w:val="both"/>
        <w:rPr>
          <w:rFonts w:ascii="Arial" w:hAnsi="Arial" w:cs="Arial"/>
        </w:rPr>
      </w:pPr>
    </w:p>
    <w:p w:rsidR="00E34680" w:rsidRDefault="00E34680" w:rsidP="00407D1B">
      <w:pPr>
        <w:spacing w:before="120" w:after="0"/>
        <w:jc w:val="both"/>
        <w:rPr>
          <w:rFonts w:ascii="Arial" w:hAnsi="Arial" w:cs="Arial"/>
        </w:rPr>
      </w:pPr>
    </w:p>
    <w:p w:rsidR="00E34680" w:rsidRDefault="00E34680" w:rsidP="00407D1B">
      <w:pPr>
        <w:spacing w:before="120" w:after="0"/>
        <w:jc w:val="both"/>
        <w:rPr>
          <w:rFonts w:ascii="Arial" w:hAnsi="Arial" w:cs="Arial"/>
        </w:rPr>
      </w:pPr>
    </w:p>
    <w:p w:rsidR="00E34680" w:rsidRDefault="00E34680" w:rsidP="00407D1B">
      <w:pPr>
        <w:spacing w:before="120" w:after="0"/>
        <w:jc w:val="both"/>
        <w:rPr>
          <w:rFonts w:ascii="Arial" w:hAnsi="Arial" w:cs="Arial"/>
        </w:rPr>
      </w:pPr>
    </w:p>
    <w:p w:rsidR="00B51280" w:rsidRDefault="00B51280" w:rsidP="00407D1B">
      <w:pPr>
        <w:spacing w:before="120" w:after="0"/>
        <w:jc w:val="both"/>
        <w:rPr>
          <w:rFonts w:ascii="Arial" w:hAnsi="Arial" w:cs="Arial"/>
        </w:rPr>
      </w:pPr>
    </w:p>
    <w:p w:rsidR="00E34680" w:rsidRPr="00E34680" w:rsidRDefault="00E34680" w:rsidP="00E34680">
      <w:pPr>
        <w:pStyle w:val="PargrafodaLista"/>
        <w:numPr>
          <w:ilvl w:val="0"/>
          <w:numId w:val="1"/>
        </w:numPr>
        <w:spacing w:before="120" w:after="0"/>
        <w:jc w:val="both"/>
        <w:rPr>
          <w:rFonts w:ascii="Arial" w:hAnsi="Arial" w:cs="Arial"/>
        </w:rPr>
      </w:pPr>
      <w:r w:rsidRPr="00E34680">
        <w:rPr>
          <w:rFonts w:ascii="Arial" w:hAnsi="Arial" w:cs="Arial"/>
        </w:rPr>
        <w:lastRenderedPageBreak/>
        <w:t xml:space="preserve">Selecionar a funcionalidade </w:t>
      </w:r>
      <w:r w:rsidRPr="00E34680">
        <w:rPr>
          <w:rFonts w:ascii="Arial" w:hAnsi="Arial" w:cs="Arial"/>
          <w:b/>
        </w:rPr>
        <w:t>Remanejar Programação Financeira</w:t>
      </w:r>
      <w:r w:rsidRPr="00E34680">
        <w:rPr>
          <w:rFonts w:ascii="Arial" w:hAnsi="Arial" w:cs="Arial"/>
        </w:rPr>
        <w:t xml:space="preserve"> no </w:t>
      </w:r>
      <w:r w:rsidRPr="00E34680">
        <w:rPr>
          <w:rFonts w:ascii="Arial" w:hAnsi="Arial" w:cs="Arial"/>
          <w:b/>
        </w:rPr>
        <w:t>Módulo FIN-PGF-Prog Financeira</w:t>
      </w:r>
    </w:p>
    <w:p w:rsidR="00E34680" w:rsidRDefault="00121AA9" w:rsidP="00E34680">
      <w:pPr>
        <w:spacing w:before="120" w:after="0"/>
        <w:jc w:val="center"/>
        <w:rPr>
          <w:rFonts w:ascii="Arial" w:hAnsi="Arial" w:cs="Arial"/>
        </w:rPr>
      </w:pPr>
      <w:r>
        <w:rPr>
          <w:noProof/>
        </w:rPr>
        <w:drawing>
          <wp:inline distT="0" distB="0" distL="0" distR="0" wp14:anchorId="1296BBEA" wp14:editId="08EEAAD5">
            <wp:extent cx="9828530" cy="4301490"/>
            <wp:effectExtent l="0" t="0" r="1270" b="381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28530" cy="4301490"/>
                    </a:xfrm>
                    <a:prstGeom prst="rect">
                      <a:avLst/>
                    </a:prstGeom>
                  </pic:spPr>
                </pic:pic>
              </a:graphicData>
            </a:graphic>
          </wp:inline>
        </w:drawing>
      </w:r>
    </w:p>
    <w:p w:rsidR="00121AA9" w:rsidRDefault="00121AA9" w:rsidP="00E34680">
      <w:pPr>
        <w:spacing w:before="120" w:after="0"/>
        <w:jc w:val="center"/>
        <w:rPr>
          <w:rFonts w:ascii="Arial" w:hAnsi="Arial" w:cs="Arial"/>
        </w:rPr>
      </w:pPr>
    </w:p>
    <w:p w:rsidR="00121AA9" w:rsidRDefault="00121AA9" w:rsidP="00E34680">
      <w:pPr>
        <w:spacing w:before="120" w:after="0"/>
        <w:jc w:val="center"/>
        <w:rPr>
          <w:rFonts w:ascii="Arial" w:hAnsi="Arial" w:cs="Arial"/>
        </w:rPr>
      </w:pPr>
    </w:p>
    <w:p w:rsidR="00121AA9" w:rsidRDefault="00121AA9" w:rsidP="00E34680">
      <w:pPr>
        <w:spacing w:before="120" w:after="0"/>
        <w:jc w:val="center"/>
        <w:rPr>
          <w:rFonts w:ascii="Arial" w:hAnsi="Arial" w:cs="Arial"/>
        </w:rPr>
      </w:pPr>
    </w:p>
    <w:p w:rsidR="00E34680" w:rsidRPr="00E34680" w:rsidRDefault="00E34680" w:rsidP="00E34680">
      <w:pPr>
        <w:pStyle w:val="PargrafodaLista"/>
        <w:numPr>
          <w:ilvl w:val="0"/>
          <w:numId w:val="1"/>
        </w:numPr>
        <w:spacing w:before="120" w:after="0"/>
        <w:rPr>
          <w:rFonts w:ascii="Arial" w:hAnsi="Arial" w:cs="Arial"/>
        </w:rPr>
      </w:pPr>
      <w:r w:rsidRPr="00E34680">
        <w:rPr>
          <w:rFonts w:ascii="Arial" w:hAnsi="Arial" w:cs="Arial"/>
        </w:rPr>
        <w:lastRenderedPageBreak/>
        <w:t>Preencher os campos Unidade Gestora (Obrigatório), Fonte (opcional) e Grupo (opcional) e clicar em Pesquisar</w:t>
      </w:r>
    </w:p>
    <w:p w:rsidR="00E34680" w:rsidRDefault="00121AA9" w:rsidP="00E34680">
      <w:pPr>
        <w:pStyle w:val="PargrafodaLista"/>
        <w:spacing w:before="120" w:after="0"/>
        <w:ind w:left="1065"/>
        <w:jc w:val="center"/>
        <w:rPr>
          <w:rFonts w:ascii="Arial" w:hAnsi="Arial" w:cs="Arial"/>
        </w:rPr>
      </w:pPr>
      <w:r>
        <w:rPr>
          <w:noProof/>
        </w:rPr>
        <w:drawing>
          <wp:inline distT="0" distB="0" distL="0" distR="0" wp14:anchorId="68117646" wp14:editId="4300B56A">
            <wp:extent cx="6704330" cy="4404292"/>
            <wp:effectExtent l="0" t="0" r="127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9595" cy="4414320"/>
                    </a:xfrm>
                    <a:prstGeom prst="rect">
                      <a:avLst/>
                    </a:prstGeom>
                  </pic:spPr>
                </pic:pic>
              </a:graphicData>
            </a:graphic>
          </wp:inline>
        </w:drawing>
      </w:r>
    </w:p>
    <w:p w:rsidR="00121AA9" w:rsidRDefault="00121AA9" w:rsidP="00E34680">
      <w:pPr>
        <w:pStyle w:val="PargrafodaLista"/>
        <w:spacing w:before="120" w:after="0"/>
        <w:ind w:left="1065"/>
        <w:jc w:val="center"/>
        <w:rPr>
          <w:rFonts w:ascii="Arial" w:hAnsi="Arial" w:cs="Arial"/>
        </w:rPr>
      </w:pPr>
    </w:p>
    <w:p w:rsidR="00121AA9" w:rsidRDefault="00121AA9" w:rsidP="00E34680">
      <w:pPr>
        <w:pStyle w:val="PargrafodaLista"/>
        <w:spacing w:before="120" w:after="0"/>
        <w:ind w:left="1065"/>
        <w:jc w:val="center"/>
        <w:rPr>
          <w:rFonts w:ascii="Arial" w:hAnsi="Arial" w:cs="Arial"/>
        </w:rPr>
      </w:pPr>
    </w:p>
    <w:p w:rsidR="00121AA9" w:rsidRDefault="00121AA9" w:rsidP="00E34680">
      <w:pPr>
        <w:pStyle w:val="PargrafodaLista"/>
        <w:spacing w:before="120" w:after="0"/>
        <w:ind w:left="1065"/>
        <w:jc w:val="center"/>
        <w:rPr>
          <w:rFonts w:ascii="Arial" w:hAnsi="Arial" w:cs="Arial"/>
        </w:rPr>
      </w:pPr>
    </w:p>
    <w:p w:rsidR="00B51280" w:rsidRDefault="00B51280" w:rsidP="00E34680">
      <w:pPr>
        <w:pStyle w:val="PargrafodaLista"/>
        <w:spacing w:before="120" w:after="0"/>
        <w:ind w:left="1065"/>
        <w:jc w:val="center"/>
        <w:rPr>
          <w:rFonts w:ascii="Arial" w:hAnsi="Arial" w:cs="Arial"/>
        </w:rPr>
      </w:pPr>
    </w:p>
    <w:p w:rsidR="00121AA9" w:rsidRPr="00121AA9" w:rsidRDefault="007F7F23" w:rsidP="00471CC3">
      <w:pPr>
        <w:pStyle w:val="PargrafodaLista"/>
        <w:numPr>
          <w:ilvl w:val="0"/>
          <w:numId w:val="1"/>
        </w:numPr>
        <w:spacing w:before="120" w:after="0"/>
        <w:jc w:val="center"/>
        <w:rPr>
          <w:rFonts w:ascii="Arial" w:hAnsi="Arial" w:cs="Arial"/>
        </w:rPr>
      </w:pPr>
      <w:r w:rsidRPr="00121AA9">
        <w:rPr>
          <w:rFonts w:ascii="Arial" w:hAnsi="Arial" w:cs="Arial"/>
        </w:rPr>
        <w:lastRenderedPageBreak/>
        <w:t xml:space="preserve">Informar o </w:t>
      </w:r>
      <w:r w:rsidRPr="00121AA9">
        <w:rPr>
          <w:rFonts w:ascii="Arial" w:hAnsi="Arial" w:cs="Arial"/>
          <w:b/>
        </w:rPr>
        <w:t>número do Evento (540011)</w:t>
      </w:r>
      <w:r w:rsidRPr="00121AA9">
        <w:rPr>
          <w:rFonts w:ascii="Arial" w:hAnsi="Arial" w:cs="Arial"/>
        </w:rPr>
        <w:t xml:space="preserve"> a Justificativa e adicionar os meses de destino para as cotas com os respectivos valores.</w:t>
      </w:r>
      <w:r w:rsidR="00121AA9">
        <w:rPr>
          <w:noProof/>
        </w:rPr>
        <w:drawing>
          <wp:inline distT="0" distB="0" distL="0" distR="0" wp14:anchorId="1FF1974F" wp14:editId="12D552FE">
            <wp:extent cx="5541654" cy="4694156"/>
            <wp:effectExtent l="0" t="0" r="190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9518" cy="4700817"/>
                    </a:xfrm>
                    <a:prstGeom prst="rect">
                      <a:avLst/>
                    </a:prstGeom>
                  </pic:spPr>
                </pic:pic>
              </a:graphicData>
            </a:graphic>
          </wp:inline>
        </w:drawing>
      </w:r>
    </w:p>
    <w:p w:rsidR="00AC6922" w:rsidRDefault="00AC6922" w:rsidP="007F7F23">
      <w:pPr>
        <w:pStyle w:val="PargrafodaLista"/>
        <w:spacing w:before="120" w:after="0"/>
        <w:ind w:left="1065"/>
        <w:jc w:val="center"/>
        <w:rPr>
          <w:rFonts w:ascii="Arial" w:hAnsi="Arial" w:cs="Arial"/>
        </w:rPr>
      </w:pPr>
    </w:p>
    <w:p w:rsidR="00897B29" w:rsidRDefault="00897B29" w:rsidP="00897B29">
      <w:pPr>
        <w:shd w:val="clear" w:color="auto" w:fill="EAEAEA"/>
        <w:spacing w:after="0"/>
        <w:jc w:val="center"/>
        <w:rPr>
          <w:rFonts w:ascii="Arial" w:hAnsi="Arial" w:cs="Arial"/>
          <w:sz w:val="20"/>
          <w:szCs w:val="20"/>
        </w:rPr>
      </w:pPr>
    </w:p>
    <w:p w:rsidR="00897B29" w:rsidRPr="00AD2EA6" w:rsidRDefault="00897B29" w:rsidP="00897B29">
      <w:pPr>
        <w:shd w:val="clear" w:color="auto" w:fill="EAEAEA"/>
        <w:spacing w:after="0"/>
        <w:jc w:val="center"/>
        <w:rPr>
          <w:rFonts w:ascii="Arial" w:hAnsi="Arial" w:cs="Arial"/>
          <w:b/>
          <w:sz w:val="20"/>
          <w:szCs w:val="20"/>
        </w:rPr>
      </w:pPr>
      <w:bookmarkStart w:id="10" w:name="erropreempenho"/>
      <w:bookmarkEnd w:id="10"/>
      <w:r>
        <w:rPr>
          <w:rFonts w:ascii="Arial" w:hAnsi="Arial" w:cs="Arial"/>
          <w:b/>
          <w:sz w:val="20"/>
          <w:szCs w:val="20"/>
        </w:rPr>
        <w:lastRenderedPageBreak/>
        <w:t>ERROS COMUNS: SALDO INSUFICIENTE NA COTA DE PRÉ-EMPENHO</w:t>
      </w:r>
    </w:p>
    <w:p w:rsidR="00897B29" w:rsidRDefault="00897B29" w:rsidP="00897B29">
      <w:pPr>
        <w:shd w:val="clear" w:color="auto" w:fill="EAEAEA"/>
        <w:spacing w:after="0"/>
        <w:jc w:val="center"/>
        <w:rPr>
          <w:rFonts w:ascii="Arial" w:hAnsi="Arial" w:cs="Arial"/>
          <w:sz w:val="20"/>
          <w:szCs w:val="20"/>
        </w:rPr>
      </w:pPr>
    </w:p>
    <w:p w:rsidR="00897B29" w:rsidRPr="006B28C5" w:rsidRDefault="00897B29" w:rsidP="00897B29">
      <w:pPr>
        <w:spacing w:before="120" w:after="0"/>
        <w:rPr>
          <w:rFonts w:ascii="Arial" w:hAnsi="Arial" w:cs="Arial"/>
          <w:sz w:val="20"/>
          <w:szCs w:val="20"/>
        </w:rPr>
      </w:pPr>
    </w:p>
    <w:p w:rsidR="00897B29" w:rsidRDefault="00897B29" w:rsidP="00B67D11">
      <w:pPr>
        <w:spacing w:before="120" w:after="0"/>
        <w:jc w:val="both"/>
        <w:rPr>
          <w:rFonts w:ascii="Arial" w:hAnsi="Arial" w:cs="Arial"/>
        </w:rPr>
      </w:pPr>
      <w:r>
        <w:rPr>
          <w:rFonts w:ascii="Arial" w:hAnsi="Arial" w:cs="Arial"/>
        </w:rPr>
        <w:t xml:space="preserve">Quando uma despesa é </w:t>
      </w:r>
      <w:r w:rsidRPr="00897B29">
        <w:rPr>
          <w:rFonts w:ascii="Arial" w:hAnsi="Arial" w:cs="Arial"/>
          <w:b/>
        </w:rPr>
        <w:t>pré-empenhada no sistema LIC</w:t>
      </w:r>
      <w:r>
        <w:rPr>
          <w:rFonts w:ascii="Arial" w:hAnsi="Arial" w:cs="Arial"/>
        </w:rPr>
        <w:t>, o saldo disponível para empenho na programação financeira não é diminuído. Isto pode levar a Unidade Gestora a acredita</w:t>
      </w:r>
      <w:r w:rsidR="00A5207B">
        <w:rPr>
          <w:rFonts w:ascii="Arial" w:hAnsi="Arial" w:cs="Arial"/>
        </w:rPr>
        <w:t xml:space="preserve">r que possui um saldo maior do que aquele que de fato possui. Para consultar o saldo disponível líquido dos pré-empenhos já realizados, deve-se utilizar a </w:t>
      </w:r>
      <w:r w:rsidR="00A5207B" w:rsidRPr="00A5207B">
        <w:rPr>
          <w:rFonts w:ascii="Arial" w:hAnsi="Arial" w:cs="Arial"/>
          <w:b/>
          <w:u w:val="single"/>
        </w:rPr>
        <w:t xml:space="preserve">funcionalidade “Detalhar Conta” no módulo “Contabilidade” </w:t>
      </w:r>
      <w:r w:rsidR="00EB4DF5">
        <w:rPr>
          <w:rFonts w:ascii="Arial" w:hAnsi="Arial" w:cs="Arial"/>
          <w:b/>
          <w:u w:val="single"/>
        </w:rPr>
        <w:t>e informar a conta contábil</w:t>
      </w:r>
      <w:r w:rsidR="00A5207B" w:rsidRPr="00A5207B">
        <w:rPr>
          <w:rFonts w:ascii="Arial" w:hAnsi="Arial" w:cs="Arial"/>
          <w:b/>
          <w:u w:val="single"/>
        </w:rPr>
        <w:t xml:space="preserve"> 8.2.2.2.1.09.00.00</w:t>
      </w:r>
      <w:r w:rsidR="00A5207B">
        <w:rPr>
          <w:rFonts w:ascii="Arial" w:hAnsi="Arial" w:cs="Arial"/>
          <w:b/>
          <w:u w:val="single"/>
        </w:rPr>
        <w:t xml:space="preserve">, </w:t>
      </w:r>
      <w:r w:rsidR="00A5207B">
        <w:rPr>
          <w:rFonts w:ascii="Arial" w:hAnsi="Arial" w:cs="Arial"/>
        </w:rPr>
        <w:t>conforme mostrado na figura da página a seguir.</w:t>
      </w:r>
    </w:p>
    <w:p w:rsidR="00A5207B" w:rsidRDefault="00A5207B" w:rsidP="00B67D11">
      <w:pPr>
        <w:spacing w:before="120" w:after="0"/>
        <w:jc w:val="both"/>
        <w:rPr>
          <w:rFonts w:ascii="Arial" w:hAnsi="Arial" w:cs="Arial"/>
        </w:rPr>
      </w:pPr>
    </w:p>
    <w:p w:rsidR="00A5207B" w:rsidRPr="00A5207B" w:rsidRDefault="00A5207B" w:rsidP="00B67D11">
      <w:pPr>
        <w:spacing w:before="120" w:after="0"/>
        <w:jc w:val="both"/>
        <w:rPr>
          <w:rFonts w:ascii="Arial" w:hAnsi="Arial" w:cs="Arial"/>
        </w:rPr>
      </w:pPr>
      <w:r>
        <w:rPr>
          <w:rFonts w:ascii="Arial" w:hAnsi="Arial" w:cs="Arial"/>
        </w:rPr>
        <w:t>Antes de solicitar cotas adicionais para solucionar este problema, verifique a possibilidade de se remanejar saldo de outros grupos para o grupo desejado ou estornar pré-empenhos.</w:t>
      </w:r>
    </w:p>
    <w:p w:rsidR="00A5207B" w:rsidRDefault="00A5207B" w:rsidP="00897B29">
      <w:pPr>
        <w:spacing w:before="120" w:after="0"/>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AC6922" w:rsidRDefault="00AC6922" w:rsidP="00A5207B">
      <w:pPr>
        <w:spacing w:before="120" w:after="0"/>
        <w:jc w:val="center"/>
        <w:rPr>
          <w:rFonts w:ascii="Arial" w:hAnsi="Arial" w:cs="Arial"/>
          <w:b/>
          <w:u w:val="single"/>
        </w:rPr>
      </w:pPr>
    </w:p>
    <w:p w:rsidR="007B0C72" w:rsidRDefault="007B0C72" w:rsidP="00A5207B">
      <w:pPr>
        <w:spacing w:before="120" w:after="0"/>
        <w:jc w:val="center"/>
        <w:rPr>
          <w:rFonts w:ascii="Arial" w:hAnsi="Arial" w:cs="Arial"/>
          <w:b/>
          <w:u w:val="single"/>
        </w:rPr>
      </w:pPr>
    </w:p>
    <w:p w:rsidR="007B0C72" w:rsidRDefault="007B0C72" w:rsidP="007B0C72">
      <w:pPr>
        <w:shd w:val="clear" w:color="auto" w:fill="EAEAEA"/>
        <w:spacing w:after="0"/>
        <w:jc w:val="center"/>
        <w:rPr>
          <w:rFonts w:ascii="Arial" w:hAnsi="Arial" w:cs="Arial"/>
          <w:sz w:val="20"/>
          <w:szCs w:val="20"/>
        </w:rPr>
      </w:pPr>
    </w:p>
    <w:p w:rsidR="007B0C72" w:rsidRPr="00AD2EA6" w:rsidRDefault="007B0C72" w:rsidP="007B0C72">
      <w:pPr>
        <w:shd w:val="clear" w:color="auto" w:fill="EAEAEA"/>
        <w:spacing w:after="0"/>
        <w:jc w:val="center"/>
        <w:rPr>
          <w:rFonts w:ascii="Arial" w:hAnsi="Arial" w:cs="Arial"/>
          <w:b/>
          <w:sz w:val="20"/>
          <w:szCs w:val="20"/>
        </w:rPr>
      </w:pPr>
      <w:r>
        <w:rPr>
          <w:rFonts w:ascii="Arial" w:hAnsi="Arial" w:cs="Arial"/>
          <w:b/>
          <w:sz w:val="20"/>
          <w:szCs w:val="20"/>
        </w:rPr>
        <w:t>ERROS COMUNS: SALDO INSUFICIENTE NA COTA DE PRÉ-EMPENHO</w:t>
      </w:r>
    </w:p>
    <w:p w:rsidR="007B0C72" w:rsidRDefault="007B0C72" w:rsidP="007B0C72">
      <w:pPr>
        <w:shd w:val="clear" w:color="auto" w:fill="EAEAEA"/>
        <w:spacing w:after="0"/>
        <w:jc w:val="center"/>
        <w:rPr>
          <w:rFonts w:ascii="Arial" w:hAnsi="Arial" w:cs="Arial"/>
          <w:sz w:val="20"/>
          <w:szCs w:val="20"/>
        </w:rPr>
      </w:pPr>
    </w:p>
    <w:p w:rsidR="00A5207B" w:rsidRDefault="0019033C" w:rsidP="00A5207B">
      <w:pPr>
        <w:spacing w:before="120" w:after="0"/>
        <w:jc w:val="center"/>
        <w:rPr>
          <w:rFonts w:ascii="Arial" w:hAnsi="Arial" w:cs="Arial"/>
          <w:b/>
          <w:u w:val="single"/>
        </w:rPr>
      </w:pPr>
      <w:r>
        <w:rPr>
          <w:noProof/>
        </w:rPr>
        <w:drawing>
          <wp:inline distT="0" distB="0" distL="0" distR="0" wp14:anchorId="09E63BE5" wp14:editId="1B5EC753">
            <wp:extent cx="6856095" cy="4466782"/>
            <wp:effectExtent l="0" t="0" r="190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09991" cy="4501896"/>
                    </a:xfrm>
                    <a:prstGeom prst="rect">
                      <a:avLst/>
                    </a:prstGeom>
                  </pic:spPr>
                </pic:pic>
              </a:graphicData>
            </a:graphic>
          </wp:inline>
        </w:drawing>
      </w:r>
    </w:p>
    <w:p w:rsidR="00AC6922" w:rsidRDefault="00AC6922" w:rsidP="00A5207B">
      <w:pPr>
        <w:spacing w:before="120" w:after="0"/>
        <w:jc w:val="center"/>
        <w:rPr>
          <w:rFonts w:ascii="Arial" w:hAnsi="Arial" w:cs="Arial"/>
          <w:b/>
          <w:u w:val="single"/>
        </w:rPr>
      </w:pPr>
    </w:p>
    <w:p w:rsidR="009B5FCB" w:rsidRDefault="009B5FCB" w:rsidP="009B5FCB">
      <w:pPr>
        <w:shd w:val="clear" w:color="auto" w:fill="EAEAEA"/>
        <w:spacing w:after="0"/>
        <w:jc w:val="center"/>
        <w:rPr>
          <w:rFonts w:ascii="Arial" w:hAnsi="Arial" w:cs="Arial"/>
          <w:sz w:val="20"/>
          <w:szCs w:val="20"/>
        </w:rPr>
      </w:pPr>
    </w:p>
    <w:p w:rsidR="009B5FCB" w:rsidRPr="00AD2EA6" w:rsidRDefault="009B5FCB" w:rsidP="009B5FCB">
      <w:pPr>
        <w:shd w:val="clear" w:color="auto" w:fill="EAEAEA"/>
        <w:spacing w:after="0"/>
        <w:jc w:val="center"/>
        <w:rPr>
          <w:rFonts w:ascii="Arial" w:hAnsi="Arial" w:cs="Arial"/>
          <w:b/>
          <w:sz w:val="20"/>
          <w:szCs w:val="20"/>
        </w:rPr>
      </w:pPr>
      <w:bookmarkStart w:id="11" w:name="erroprogfin"/>
      <w:bookmarkEnd w:id="11"/>
      <w:r>
        <w:rPr>
          <w:rFonts w:ascii="Arial" w:hAnsi="Arial" w:cs="Arial"/>
          <w:b/>
          <w:sz w:val="20"/>
          <w:szCs w:val="20"/>
        </w:rPr>
        <w:t>ERROS COMUNS: SALDO INSUFICIENTE NA COTA DE PROGRAMAÇÃO FINANCEIRA</w:t>
      </w:r>
    </w:p>
    <w:p w:rsidR="009B5FCB" w:rsidRDefault="009B5FCB" w:rsidP="009B5FCB">
      <w:pPr>
        <w:shd w:val="clear" w:color="auto" w:fill="EAEAEA"/>
        <w:spacing w:after="0"/>
        <w:jc w:val="center"/>
        <w:rPr>
          <w:rFonts w:ascii="Arial" w:hAnsi="Arial" w:cs="Arial"/>
          <w:sz w:val="20"/>
          <w:szCs w:val="20"/>
        </w:rPr>
      </w:pPr>
    </w:p>
    <w:p w:rsidR="009B5FCB" w:rsidRDefault="009B5FCB" w:rsidP="009B5FCB">
      <w:pPr>
        <w:spacing w:before="120" w:after="0"/>
        <w:rPr>
          <w:rFonts w:ascii="Arial" w:hAnsi="Arial" w:cs="Arial"/>
          <w:b/>
          <w:u w:val="single"/>
        </w:rPr>
      </w:pPr>
    </w:p>
    <w:p w:rsidR="009B5FCB" w:rsidRDefault="009B5FCB" w:rsidP="009B5FCB">
      <w:pPr>
        <w:spacing w:before="120" w:after="0"/>
        <w:rPr>
          <w:rFonts w:ascii="Arial" w:hAnsi="Arial" w:cs="Arial"/>
        </w:rPr>
      </w:pPr>
      <w:r>
        <w:rPr>
          <w:rFonts w:ascii="Arial" w:hAnsi="Arial" w:cs="Arial"/>
        </w:rPr>
        <w:t xml:space="preserve">Além de utilizar o “Relatório de Programação Financeira”, a Unidade Gestora também pode consultar seu saldo de programação financeira na funcionalidade </w:t>
      </w:r>
      <w:r w:rsidRPr="00EB4DF5">
        <w:rPr>
          <w:rFonts w:ascii="Arial" w:hAnsi="Arial" w:cs="Arial"/>
          <w:b/>
        </w:rPr>
        <w:t>“Detalhar Conta” no módulo “Contabilidade”</w:t>
      </w:r>
      <w:r w:rsidR="00EB4DF5" w:rsidRPr="00EB4DF5">
        <w:rPr>
          <w:rFonts w:ascii="Arial" w:hAnsi="Arial" w:cs="Arial"/>
          <w:b/>
        </w:rPr>
        <w:t xml:space="preserve"> e informar a conta contábil “8.2.2.2.1.04.00.00”. (figura mostrada na página a seguir)</w:t>
      </w:r>
    </w:p>
    <w:p w:rsidR="00EB4DF5" w:rsidRDefault="00EB4DF5" w:rsidP="009B5FCB">
      <w:pPr>
        <w:spacing w:before="120" w:after="0"/>
        <w:rPr>
          <w:rFonts w:ascii="Arial" w:hAnsi="Arial" w:cs="Arial"/>
        </w:rPr>
      </w:pPr>
      <w:r>
        <w:rPr>
          <w:rFonts w:ascii="Arial" w:hAnsi="Arial" w:cs="Arial"/>
        </w:rPr>
        <w:t>Um erro comum ao se tentar realizar um empenho é o SIGEF informar que não existe saldo de programação financeira nessa conta contábil.</w:t>
      </w:r>
    </w:p>
    <w:p w:rsidR="00EB4DF5" w:rsidRDefault="00EB4DF5" w:rsidP="009B5FCB">
      <w:pPr>
        <w:spacing w:before="120" w:after="0"/>
        <w:rPr>
          <w:rFonts w:ascii="Arial" w:hAnsi="Arial" w:cs="Arial"/>
        </w:rPr>
      </w:pPr>
      <w:r>
        <w:rPr>
          <w:rFonts w:ascii="Arial" w:hAnsi="Arial" w:cs="Arial"/>
        </w:rPr>
        <w:t>Antes de solicitar programação financeira adicional, verifique a possibilidade de se remanejar saldo de programação de outros grupos para o grupo desejado.</w:t>
      </w: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9B5FCB">
      <w:pPr>
        <w:spacing w:before="120" w:after="0"/>
        <w:rPr>
          <w:rFonts w:ascii="Arial" w:hAnsi="Arial" w:cs="Arial"/>
        </w:rPr>
      </w:pPr>
    </w:p>
    <w:p w:rsidR="00EB4DF5" w:rsidRDefault="00EB4DF5" w:rsidP="00EB4DF5">
      <w:pPr>
        <w:shd w:val="clear" w:color="auto" w:fill="EAEAEA"/>
        <w:spacing w:after="0"/>
        <w:jc w:val="center"/>
        <w:rPr>
          <w:rFonts w:ascii="Arial" w:hAnsi="Arial" w:cs="Arial"/>
          <w:sz w:val="20"/>
          <w:szCs w:val="20"/>
        </w:rPr>
      </w:pPr>
    </w:p>
    <w:p w:rsidR="00EB4DF5" w:rsidRPr="00AD2EA6" w:rsidRDefault="00EB4DF5" w:rsidP="00EB4DF5">
      <w:pPr>
        <w:shd w:val="clear" w:color="auto" w:fill="EAEAEA"/>
        <w:spacing w:after="0"/>
        <w:jc w:val="center"/>
        <w:rPr>
          <w:rFonts w:ascii="Arial" w:hAnsi="Arial" w:cs="Arial"/>
          <w:b/>
          <w:sz w:val="20"/>
          <w:szCs w:val="20"/>
        </w:rPr>
      </w:pPr>
      <w:r>
        <w:rPr>
          <w:rFonts w:ascii="Arial" w:hAnsi="Arial" w:cs="Arial"/>
          <w:b/>
          <w:sz w:val="20"/>
          <w:szCs w:val="20"/>
        </w:rPr>
        <w:lastRenderedPageBreak/>
        <w:t>ERROS COMUNS: SALDO INSUFICIENTE NA COTA DE PROGRAMAÇÃO FINANCEIRA</w:t>
      </w:r>
    </w:p>
    <w:p w:rsidR="00EB4DF5" w:rsidRDefault="00EB4DF5" w:rsidP="00EB4DF5">
      <w:pPr>
        <w:shd w:val="clear" w:color="auto" w:fill="EAEAEA"/>
        <w:spacing w:after="0"/>
        <w:jc w:val="center"/>
        <w:rPr>
          <w:rFonts w:ascii="Arial" w:hAnsi="Arial" w:cs="Arial"/>
          <w:sz w:val="20"/>
          <w:szCs w:val="20"/>
        </w:rPr>
      </w:pPr>
    </w:p>
    <w:p w:rsidR="00EB4DF5" w:rsidRDefault="0019033C" w:rsidP="00EB4DF5">
      <w:pPr>
        <w:spacing w:before="120" w:after="0"/>
        <w:jc w:val="center"/>
        <w:rPr>
          <w:rFonts w:ascii="Arial" w:hAnsi="Arial" w:cs="Arial"/>
        </w:rPr>
      </w:pPr>
      <w:r>
        <w:rPr>
          <w:noProof/>
        </w:rPr>
        <w:drawing>
          <wp:inline distT="0" distB="0" distL="0" distR="0" wp14:anchorId="0810700C" wp14:editId="7DCC255B">
            <wp:extent cx="6655993" cy="4336415"/>
            <wp:effectExtent l="0" t="0" r="0" b="698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65709" cy="4342745"/>
                    </a:xfrm>
                    <a:prstGeom prst="rect">
                      <a:avLst/>
                    </a:prstGeom>
                  </pic:spPr>
                </pic:pic>
              </a:graphicData>
            </a:graphic>
          </wp:inline>
        </w:drawing>
      </w:r>
    </w:p>
    <w:sectPr w:rsidR="00EB4DF5" w:rsidSect="001C2CCE">
      <w:headerReference w:type="default" r:id="rId33"/>
      <w:footerReference w:type="default" r:id="rId34"/>
      <w:pgSz w:w="16838" w:h="11906" w:orient="landscape"/>
      <w:pgMar w:top="284" w:right="680" w:bottom="284" w:left="680"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0C5" w:rsidRDefault="00AB30C5" w:rsidP="00AB30C5">
      <w:pPr>
        <w:spacing w:after="0" w:line="240" w:lineRule="auto"/>
      </w:pPr>
      <w:r>
        <w:separator/>
      </w:r>
    </w:p>
  </w:endnote>
  <w:endnote w:type="continuationSeparator" w:id="0">
    <w:p w:rsidR="00AB30C5" w:rsidRDefault="00AB30C5" w:rsidP="00AB3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809460"/>
      <w:docPartObj>
        <w:docPartGallery w:val="Page Numbers (Bottom of Page)"/>
        <w:docPartUnique/>
      </w:docPartObj>
    </w:sdtPr>
    <w:sdtEndPr/>
    <w:sdtContent>
      <w:p w:rsidR="001C2CCE" w:rsidRDefault="001413E8">
        <w:pPr>
          <w:pStyle w:val="Rodap"/>
          <w:jc w:val="right"/>
        </w:pPr>
        <w:r>
          <w:fldChar w:fldCharType="begin"/>
        </w:r>
        <w:r>
          <w:instrText xml:space="preserve"> PAGE   \* MERGEFORMAT </w:instrText>
        </w:r>
        <w:r>
          <w:fldChar w:fldCharType="separate"/>
        </w:r>
        <w:r w:rsidR="0019033C">
          <w:rPr>
            <w:noProof/>
          </w:rPr>
          <w:t>2</w:t>
        </w:r>
        <w:r>
          <w:rPr>
            <w:noProof/>
          </w:rPr>
          <w:fldChar w:fldCharType="end"/>
        </w:r>
      </w:p>
    </w:sdtContent>
  </w:sdt>
  <w:p w:rsidR="001C2CCE" w:rsidRPr="00AB30C5" w:rsidRDefault="001C2CCE" w:rsidP="001C2CCE">
    <w:pPr>
      <w:pStyle w:val="Rodap"/>
      <w:pBdr>
        <w:top w:val="single" w:sz="4" w:space="1" w:color="auto"/>
      </w:pBdr>
      <w:rPr>
        <w:rFonts w:ascii="Arial" w:hAnsi="Arial" w:cs="Arial"/>
        <w:b/>
        <w:sz w:val="18"/>
        <w:szCs w:val="18"/>
      </w:rPr>
    </w:pPr>
    <w:r>
      <w:rPr>
        <w:rFonts w:ascii="Arial" w:hAnsi="Arial" w:cs="Arial"/>
        <w:b/>
        <w:noProof/>
        <w:sz w:val="18"/>
        <w:szCs w:val="18"/>
      </w:rPr>
      <w:drawing>
        <wp:anchor distT="0" distB="0" distL="114300" distR="114300" simplePos="0" relativeHeight="251660288" behindDoc="0" locked="0" layoutInCell="1" allowOverlap="1">
          <wp:simplePos x="0" y="0"/>
          <wp:positionH relativeFrom="column">
            <wp:posOffset>8884920</wp:posOffset>
          </wp:positionH>
          <wp:positionV relativeFrom="paragraph">
            <wp:posOffset>59690</wp:posOffset>
          </wp:positionV>
          <wp:extent cx="808355" cy="683260"/>
          <wp:effectExtent l="19050" t="0" r="0" b="0"/>
          <wp:wrapThrough wrapText="bothSides">
            <wp:wrapPolygon edited="0">
              <wp:start x="-509" y="0"/>
              <wp:lineTo x="-509" y="21078"/>
              <wp:lineTo x="21379" y="21078"/>
              <wp:lineTo x="21379" y="0"/>
              <wp:lineTo x="-509" y="0"/>
            </wp:wrapPolygon>
          </wp:wrapThrough>
          <wp:docPr id="1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808355" cy="683260"/>
                  </a:xfrm>
                  <a:prstGeom prst="rect">
                    <a:avLst/>
                  </a:prstGeom>
                  <a:noFill/>
                  <a:ln w="9525">
                    <a:noFill/>
                    <a:miter lim="800000"/>
                    <a:headEnd/>
                    <a:tailEnd/>
                  </a:ln>
                </pic:spPr>
              </pic:pic>
            </a:graphicData>
          </a:graphic>
        </wp:anchor>
      </w:drawing>
    </w:r>
    <w:r w:rsidRPr="00AB30C5">
      <w:rPr>
        <w:rFonts w:ascii="Arial" w:hAnsi="Arial" w:cs="Arial"/>
        <w:b/>
        <w:sz w:val="18"/>
        <w:szCs w:val="18"/>
      </w:rPr>
      <w:t xml:space="preserve">Rodovia SC 401, Km 5, nº 4.600, Bloco 5 – Centro Administrativo do Governo </w:t>
    </w:r>
  </w:p>
  <w:p w:rsidR="001C2CCE" w:rsidRPr="00AB30C5" w:rsidRDefault="001C2CCE" w:rsidP="001C2CCE">
    <w:pPr>
      <w:pStyle w:val="Rodap"/>
      <w:pBdr>
        <w:top w:val="single" w:sz="4" w:space="1" w:color="auto"/>
      </w:pBdr>
      <w:rPr>
        <w:rFonts w:ascii="Arial" w:hAnsi="Arial" w:cs="Arial"/>
        <w:b/>
        <w:sz w:val="18"/>
        <w:szCs w:val="18"/>
      </w:rPr>
    </w:pPr>
    <w:r w:rsidRPr="00AB30C5">
      <w:rPr>
        <w:rFonts w:ascii="Arial" w:hAnsi="Arial" w:cs="Arial"/>
        <w:b/>
        <w:sz w:val="18"/>
        <w:szCs w:val="18"/>
      </w:rPr>
      <w:t xml:space="preserve">Saco Grande II – Florianópolis / SC </w:t>
    </w:r>
  </w:p>
  <w:p w:rsidR="001C2CCE" w:rsidRPr="00AB30C5" w:rsidRDefault="001C2CCE" w:rsidP="001C2CCE">
    <w:pPr>
      <w:pStyle w:val="Rodap"/>
      <w:pBdr>
        <w:top w:val="single" w:sz="4" w:space="1" w:color="auto"/>
      </w:pBdr>
      <w:rPr>
        <w:rFonts w:ascii="Arial" w:hAnsi="Arial" w:cs="Arial"/>
        <w:b/>
        <w:sz w:val="18"/>
        <w:szCs w:val="18"/>
      </w:rPr>
    </w:pPr>
    <w:r w:rsidRPr="00AB30C5">
      <w:rPr>
        <w:rFonts w:ascii="Arial" w:hAnsi="Arial" w:cs="Arial"/>
        <w:b/>
        <w:sz w:val="18"/>
        <w:szCs w:val="18"/>
      </w:rPr>
      <w:t>CEP 88032-000 – Fone: (48) 3665-2532</w:t>
    </w:r>
  </w:p>
  <w:p w:rsidR="00AB30C5" w:rsidRPr="00AB30C5" w:rsidRDefault="00AB30C5" w:rsidP="00AB30C5">
    <w:pPr>
      <w:pStyle w:val="Rodap"/>
      <w:pBdr>
        <w:top w:val="single" w:sz="4" w:space="1" w:color="auto"/>
      </w:pBdr>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0C5" w:rsidRDefault="00AB30C5" w:rsidP="00AB30C5">
      <w:pPr>
        <w:spacing w:after="0" w:line="240" w:lineRule="auto"/>
      </w:pPr>
      <w:r>
        <w:separator/>
      </w:r>
    </w:p>
  </w:footnote>
  <w:footnote w:type="continuationSeparator" w:id="0">
    <w:p w:rsidR="00AB30C5" w:rsidRDefault="00AB30C5" w:rsidP="00AB3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7AA" w:rsidRDefault="00AB30C5" w:rsidP="00C267AA">
    <w:pPr>
      <w:pStyle w:val="Cabealho"/>
      <w:ind w:firstLine="1416"/>
      <w:rPr>
        <w:rFonts w:ascii="Arial" w:hAnsi="Arial" w:cs="Arial"/>
        <w:b/>
        <w:sz w:val="18"/>
        <w:szCs w:val="18"/>
      </w:rPr>
    </w:pPr>
    <w:r w:rsidRPr="00C267AA">
      <w:rPr>
        <w:rFonts w:ascii="Arial" w:hAnsi="Arial" w:cs="Arial"/>
        <w:b/>
        <w:noProof/>
        <w:sz w:val="18"/>
        <w:szCs w:val="18"/>
      </w:rPr>
      <w:drawing>
        <wp:anchor distT="0" distB="0" distL="114300" distR="114300" simplePos="0" relativeHeight="251658240" behindDoc="0" locked="0" layoutInCell="1" allowOverlap="1">
          <wp:simplePos x="0" y="0"/>
          <wp:positionH relativeFrom="column">
            <wp:posOffset>-37465</wp:posOffset>
          </wp:positionH>
          <wp:positionV relativeFrom="paragraph">
            <wp:posOffset>-40640</wp:posOffset>
          </wp:positionV>
          <wp:extent cx="661670" cy="586740"/>
          <wp:effectExtent l="19050" t="0" r="5080" b="0"/>
          <wp:wrapThrough wrapText="bothSides">
            <wp:wrapPolygon edited="0">
              <wp:start x="-622" y="0"/>
              <wp:lineTo x="-622" y="21039"/>
              <wp:lineTo x="21766" y="21039"/>
              <wp:lineTo x="21766" y="0"/>
              <wp:lineTo x="-622" y="0"/>
            </wp:wrapPolygon>
          </wp:wrapThrough>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61670" cy="586740"/>
                  </a:xfrm>
                  <a:prstGeom prst="rect">
                    <a:avLst/>
                  </a:prstGeom>
                  <a:noFill/>
                  <a:ln w="9525">
                    <a:noFill/>
                    <a:miter lim="800000"/>
                    <a:headEnd/>
                    <a:tailEnd/>
                  </a:ln>
                </pic:spPr>
              </pic:pic>
            </a:graphicData>
          </a:graphic>
        </wp:anchor>
      </w:drawing>
    </w:r>
    <w:r w:rsidR="00C267AA">
      <w:rPr>
        <w:rFonts w:ascii="Arial" w:hAnsi="Arial" w:cs="Arial"/>
        <w:b/>
        <w:sz w:val="18"/>
        <w:szCs w:val="18"/>
      </w:rPr>
      <w:t>E</w:t>
    </w:r>
    <w:r w:rsidRPr="00C267AA">
      <w:rPr>
        <w:rFonts w:ascii="Arial" w:hAnsi="Arial" w:cs="Arial"/>
        <w:b/>
        <w:sz w:val="18"/>
        <w:szCs w:val="18"/>
      </w:rPr>
      <w:t xml:space="preserve">STADO DE SANTA CATARINA </w:t>
    </w:r>
  </w:p>
  <w:p w:rsidR="00C267AA" w:rsidRDefault="00AB30C5" w:rsidP="00C267AA">
    <w:pPr>
      <w:pStyle w:val="Cabealho"/>
      <w:ind w:firstLine="1416"/>
      <w:rPr>
        <w:rFonts w:ascii="Arial" w:hAnsi="Arial" w:cs="Arial"/>
        <w:b/>
        <w:sz w:val="18"/>
        <w:szCs w:val="18"/>
      </w:rPr>
    </w:pPr>
    <w:r w:rsidRPr="00C267AA">
      <w:rPr>
        <w:rFonts w:ascii="Arial" w:hAnsi="Arial" w:cs="Arial"/>
        <w:b/>
        <w:sz w:val="18"/>
        <w:szCs w:val="18"/>
      </w:rPr>
      <w:t>S</w:t>
    </w:r>
    <w:r w:rsidR="00C267AA">
      <w:rPr>
        <w:rFonts w:ascii="Arial" w:hAnsi="Arial" w:cs="Arial"/>
        <w:b/>
        <w:sz w:val="18"/>
        <w:szCs w:val="18"/>
      </w:rPr>
      <w:t xml:space="preserve">ECRETARIA DE ESTADO DA FAZENDA </w:t>
    </w:r>
  </w:p>
  <w:p w:rsidR="00AB30C5" w:rsidRPr="00C267AA" w:rsidRDefault="00AB30C5" w:rsidP="00C267AA">
    <w:pPr>
      <w:pStyle w:val="Cabealho"/>
      <w:ind w:firstLine="1416"/>
      <w:rPr>
        <w:rFonts w:ascii="Arial" w:hAnsi="Arial" w:cs="Arial"/>
        <w:b/>
        <w:sz w:val="18"/>
        <w:szCs w:val="18"/>
      </w:rPr>
    </w:pPr>
    <w:r w:rsidRPr="00C267AA">
      <w:rPr>
        <w:rFonts w:ascii="Arial" w:hAnsi="Arial" w:cs="Arial"/>
        <w:b/>
        <w:sz w:val="18"/>
        <w:szCs w:val="18"/>
      </w:rPr>
      <w:t>DIRETORIA DO TESOURO ESTADUAL</w:t>
    </w:r>
  </w:p>
  <w:p w:rsidR="00C267AA" w:rsidRDefault="00C267AA" w:rsidP="00AB30C5">
    <w:pPr>
      <w:pStyle w:val="Cabealho"/>
      <w:pBdr>
        <w:bottom w:val="single" w:sz="4" w:space="1" w:color="auto"/>
      </w:pBdr>
    </w:pPr>
  </w:p>
  <w:p w:rsidR="00AB30C5" w:rsidRDefault="00AB30C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520C3"/>
    <w:multiLevelType w:val="hybridMultilevel"/>
    <w:tmpl w:val="EC0876DC"/>
    <w:lvl w:ilvl="0" w:tplc="1750B5B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40947E6"/>
    <w:multiLevelType w:val="hybridMultilevel"/>
    <w:tmpl w:val="680AD978"/>
    <w:lvl w:ilvl="0" w:tplc="65FA9040">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006D13"/>
    <w:multiLevelType w:val="hybridMultilevel"/>
    <w:tmpl w:val="EEC22C10"/>
    <w:lvl w:ilvl="0" w:tplc="5A1C765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D153138"/>
    <w:multiLevelType w:val="hybridMultilevel"/>
    <w:tmpl w:val="8DD827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65317D2"/>
    <w:multiLevelType w:val="hybridMultilevel"/>
    <w:tmpl w:val="B2EA6F18"/>
    <w:lvl w:ilvl="0" w:tplc="67CA0B44">
      <w:start w:val="1"/>
      <w:numFmt w:val="decimal"/>
      <w:lvlText w:val="%1."/>
      <w:lvlJc w:val="left"/>
      <w:pPr>
        <w:ind w:left="1065" w:hanging="705"/>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4FB"/>
    <w:rsid w:val="00024189"/>
    <w:rsid w:val="00026996"/>
    <w:rsid w:val="00085BA0"/>
    <w:rsid w:val="000873DC"/>
    <w:rsid w:val="000B2C9A"/>
    <w:rsid w:val="0010277B"/>
    <w:rsid w:val="0010418F"/>
    <w:rsid w:val="00106AF2"/>
    <w:rsid w:val="00113510"/>
    <w:rsid w:val="00121AA9"/>
    <w:rsid w:val="001413E8"/>
    <w:rsid w:val="001521BC"/>
    <w:rsid w:val="0019033C"/>
    <w:rsid w:val="00196EF7"/>
    <w:rsid w:val="001A3DEE"/>
    <w:rsid w:val="001A73F9"/>
    <w:rsid w:val="001C2CCE"/>
    <w:rsid w:val="001C538B"/>
    <w:rsid w:val="001C5D67"/>
    <w:rsid w:val="001D2ECE"/>
    <w:rsid w:val="001D44AB"/>
    <w:rsid w:val="001F4BA3"/>
    <w:rsid w:val="001F604A"/>
    <w:rsid w:val="00214FEC"/>
    <w:rsid w:val="00222FF5"/>
    <w:rsid w:val="00235BB8"/>
    <w:rsid w:val="00283205"/>
    <w:rsid w:val="002B69CF"/>
    <w:rsid w:val="002D5A71"/>
    <w:rsid w:val="002E0524"/>
    <w:rsid w:val="00306D3C"/>
    <w:rsid w:val="00312FF4"/>
    <w:rsid w:val="00313DAE"/>
    <w:rsid w:val="00337CEB"/>
    <w:rsid w:val="0035142C"/>
    <w:rsid w:val="0036563E"/>
    <w:rsid w:val="003A7985"/>
    <w:rsid w:val="003C4F54"/>
    <w:rsid w:val="003F3A98"/>
    <w:rsid w:val="00402484"/>
    <w:rsid w:val="00407D1B"/>
    <w:rsid w:val="004153B9"/>
    <w:rsid w:val="0043725B"/>
    <w:rsid w:val="00437510"/>
    <w:rsid w:val="00460438"/>
    <w:rsid w:val="00464B83"/>
    <w:rsid w:val="00466BB1"/>
    <w:rsid w:val="004826A5"/>
    <w:rsid w:val="004A4F47"/>
    <w:rsid w:val="004B50D0"/>
    <w:rsid w:val="004B5A04"/>
    <w:rsid w:val="004C339A"/>
    <w:rsid w:val="004D4F4C"/>
    <w:rsid w:val="00520434"/>
    <w:rsid w:val="00520981"/>
    <w:rsid w:val="005375E7"/>
    <w:rsid w:val="00542B6B"/>
    <w:rsid w:val="00550712"/>
    <w:rsid w:val="005931CE"/>
    <w:rsid w:val="005E7906"/>
    <w:rsid w:val="005F0C1E"/>
    <w:rsid w:val="005F62A9"/>
    <w:rsid w:val="005F77C3"/>
    <w:rsid w:val="006008A0"/>
    <w:rsid w:val="006065E7"/>
    <w:rsid w:val="0061259E"/>
    <w:rsid w:val="00621302"/>
    <w:rsid w:val="00623949"/>
    <w:rsid w:val="00652BFF"/>
    <w:rsid w:val="0065437B"/>
    <w:rsid w:val="006816E5"/>
    <w:rsid w:val="006B28C5"/>
    <w:rsid w:val="006B32C7"/>
    <w:rsid w:val="006B49AC"/>
    <w:rsid w:val="006C14FB"/>
    <w:rsid w:val="006C1F27"/>
    <w:rsid w:val="006D090E"/>
    <w:rsid w:val="006D2177"/>
    <w:rsid w:val="006E1019"/>
    <w:rsid w:val="006F01DC"/>
    <w:rsid w:val="00701709"/>
    <w:rsid w:val="007057E6"/>
    <w:rsid w:val="007332E9"/>
    <w:rsid w:val="007512CB"/>
    <w:rsid w:val="00773583"/>
    <w:rsid w:val="007839C1"/>
    <w:rsid w:val="007B0C72"/>
    <w:rsid w:val="007C3AC2"/>
    <w:rsid w:val="007C46EA"/>
    <w:rsid w:val="007D3AD2"/>
    <w:rsid w:val="007F0789"/>
    <w:rsid w:val="007F7F23"/>
    <w:rsid w:val="00806D9A"/>
    <w:rsid w:val="00814013"/>
    <w:rsid w:val="00831DE3"/>
    <w:rsid w:val="008348EC"/>
    <w:rsid w:val="00874B55"/>
    <w:rsid w:val="00885560"/>
    <w:rsid w:val="00890C1B"/>
    <w:rsid w:val="008910DC"/>
    <w:rsid w:val="00892689"/>
    <w:rsid w:val="00897B29"/>
    <w:rsid w:val="008A2A93"/>
    <w:rsid w:val="008B7155"/>
    <w:rsid w:val="008C20D9"/>
    <w:rsid w:val="008F2513"/>
    <w:rsid w:val="008F715B"/>
    <w:rsid w:val="00905BA8"/>
    <w:rsid w:val="00905F4B"/>
    <w:rsid w:val="00910823"/>
    <w:rsid w:val="00917590"/>
    <w:rsid w:val="00920183"/>
    <w:rsid w:val="00941EFB"/>
    <w:rsid w:val="00982C5C"/>
    <w:rsid w:val="00987DDB"/>
    <w:rsid w:val="009A4E53"/>
    <w:rsid w:val="009B44E2"/>
    <w:rsid w:val="009B5FCB"/>
    <w:rsid w:val="00A2062B"/>
    <w:rsid w:val="00A357FB"/>
    <w:rsid w:val="00A3694D"/>
    <w:rsid w:val="00A36C1F"/>
    <w:rsid w:val="00A5207B"/>
    <w:rsid w:val="00A70D77"/>
    <w:rsid w:val="00A76624"/>
    <w:rsid w:val="00AA1753"/>
    <w:rsid w:val="00AB30C5"/>
    <w:rsid w:val="00AC1E86"/>
    <w:rsid w:val="00AC4E69"/>
    <w:rsid w:val="00AC6922"/>
    <w:rsid w:val="00AD2EA6"/>
    <w:rsid w:val="00AF1B8C"/>
    <w:rsid w:val="00B21B80"/>
    <w:rsid w:val="00B25C32"/>
    <w:rsid w:val="00B36E61"/>
    <w:rsid w:val="00B4690A"/>
    <w:rsid w:val="00B51280"/>
    <w:rsid w:val="00B67D11"/>
    <w:rsid w:val="00BD4345"/>
    <w:rsid w:val="00BE5688"/>
    <w:rsid w:val="00C20E8D"/>
    <w:rsid w:val="00C267AA"/>
    <w:rsid w:val="00C65542"/>
    <w:rsid w:val="00C94803"/>
    <w:rsid w:val="00CD40D3"/>
    <w:rsid w:val="00CE01A2"/>
    <w:rsid w:val="00CE21AF"/>
    <w:rsid w:val="00D36AD9"/>
    <w:rsid w:val="00D4069C"/>
    <w:rsid w:val="00D650A0"/>
    <w:rsid w:val="00D66824"/>
    <w:rsid w:val="00D767F5"/>
    <w:rsid w:val="00D94CA0"/>
    <w:rsid w:val="00DA7AB8"/>
    <w:rsid w:val="00DB062B"/>
    <w:rsid w:val="00DD72DB"/>
    <w:rsid w:val="00DF64F6"/>
    <w:rsid w:val="00E03430"/>
    <w:rsid w:val="00E140FD"/>
    <w:rsid w:val="00E30605"/>
    <w:rsid w:val="00E34680"/>
    <w:rsid w:val="00E46DA1"/>
    <w:rsid w:val="00E62903"/>
    <w:rsid w:val="00EA2AD5"/>
    <w:rsid w:val="00EA595D"/>
    <w:rsid w:val="00EB4DF5"/>
    <w:rsid w:val="00ED0EC1"/>
    <w:rsid w:val="00F10664"/>
    <w:rsid w:val="00F23AD2"/>
    <w:rsid w:val="00F479DC"/>
    <w:rsid w:val="00F75469"/>
    <w:rsid w:val="00F80825"/>
    <w:rsid w:val="00F80E3D"/>
    <w:rsid w:val="00F9327D"/>
    <w:rsid w:val="00F97F8B"/>
    <w:rsid w:val="00FA2792"/>
    <w:rsid w:val="00FF1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0AF62D4"/>
  <w15:docId w15:val="{13764F2B-424D-48F0-9494-6F35CDF8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D2E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C14F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14FB"/>
    <w:rPr>
      <w:rFonts w:ascii="Tahoma" w:hAnsi="Tahoma" w:cs="Tahoma"/>
      <w:sz w:val="16"/>
      <w:szCs w:val="16"/>
    </w:rPr>
  </w:style>
  <w:style w:type="paragraph" w:styleId="Cabealho">
    <w:name w:val="header"/>
    <w:basedOn w:val="Normal"/>
    <w:link w:val="CabealhoChar"/>
    <w:uiPriority w:val="99"/>
    <w:unhideWhenUsed/>
    <w:rsid w:val="00AB30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30C5"/>
  </w:style>
  <w:style w:type="paragraph" w:styleId="Rodap">
    <w:name w:val="footer"/>
    <w:basedOn w:val="Normal"/>
    <w:link w:val="RodapChar"/>
    <w:uiPriority w:val="99"/>
    <w:unhideWhenUsed/>
    <w:rsid w:val="00AB30C5"/>
    <w:pPr>
      <w:tabs>
        <w:tab w:val="center" w:pos="4252"/>
        <w:tab w:val="right" w:pos="8504"/>
      </w:tabs>
      <w:spacing w:after="0" w:line="240" w:lineRule="auto"/>
    </w:pPr>
  </w:style>
  <w:style w:type="character" w:customStyle="1" w:styleId="RodapChar">
    <w:name w:val="Rodapé Char"/>
    <w:basedOn w:val="Fontepargpadro"/>
    <w:link w:val="Rodap"/>
    <w:uiPriority w:val="99"/>
    <w:rsid w:val="00AB30C5"/>
  </w:style>
  <w:style w:type="character" w:styleId="Nmerodelinha">
    <w:name w:val="line number"/>
    <w:basedOn w:val="Fontepargpadro"/>
    <w:uiPriority w:val="99"/>
    <w:semiHidden/>
    <w:unhideWhenUsed/>
    <w:rsid w:val="001C2CCE"/>
  </w:style>
  <w:style w:type="character" w:customStyle="1" w:styleId="Ttulo1Char">
    <w:name w:val="Título 1 Char"/>
    <w:basedOn w:val="Fontepargpadro"/>
    <w:link w:val="Ttulo1"/>
    <w:uiPriority w:val="9"/>
    <w:rsid w:val="00AD2EA6"/>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AD2EA6"/>
    <w:pPr>
      <w:outlineLvl w:val="9"/>
    </w:pPr>
  </w:style>
  <w:style w:type="paragraph" w:styleId="PargrafodaLista">
    <w:name w:val="List Paragraph"/>
    <w:basedOn w:val="Normal"/>
    <w:uiPriority w:val="34"/>
    <w:qFormat/>
    <w:rsid w:val="00A357FB"/>
    <w:pPr>
      <w:ind w:left="720"/>
      <w:contextualSpacing/>
    </w:pPr>
  </w:style>
  <w:style w:type="character" w:styleId="Hyperlink">
    <w:name w:val="Hyperlink"/>
    <w:basedOn w:val="Fontepargpadro"/>
    <w:uiPriority w:val="99"/>
    <w:unhideWhenUsed/>
    <w:rsid w:val="00DD72DB"/>
    <w:rPr>
      <w:color w:val="0000FF" w:themeColor="hyperlink"/>
      <w:u w:val="single"/>
    </w:rPr>
  </w:style>
  <w:style w:type="character" w:styleId="HiperlinkVisitado">
    <w:name w:val="FollowedHyperlink"/>
    <w:basedOn w:val="Fontepargpadro"/>
    <w:uiPriority w:val="99"/>
    <w:semiHidden/>
    <w:unhideWhenUsed/>
    <w:rsid w:val="00DD72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52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ef.sc.gov.br/servicos/assunto/56/Programa%C3%A7%C3%A3o_Financeira"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mailto:progfin@sefaz.sc.gov.br"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mailto:progfin@sef.sc.gov.br"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500903-F02C-4A54-81E4-7B80A41973A1}" type="doc">
      <dgm:prSet loTypeId="urn:microsoft.com/office/officeart/2005/8/layout/hProcess9" loCatId="process" qsTypeId="urn:microsoft.com/office/officeart/2005/8/quickstyle/simple1" qsCatId="simple" csTypeId="urn:microsoft.com/office/officeart/2005/8/colors/accent1_2" csCatId="accent1" phldr="1"/>
      <dgm:spPr/>
    </dgm:pt>
    <dgm:pt modelId="{2056C23B-FED4-4C32-B59F-4161B2EE7A9D}">
      <dgm:prSet phldrT="[Texto]" custT="1"/>
      <dgm:spPr/>
      <dgm:t>
        <a:bodyPr/>
        <a:lstStyle/>
        <a:p>
          <a:pPr algn="ctr"/>
          <a:r>
            <a:rPr lang="pt-BR" sz="1200" b="1">
              <a:latin typeface="Arial" pitchFamily="34" charset="0"/>
              <a:cs typeface="Arial" pitchFamily="34" charset="0"/>
            </a:rPr>
            <a:t>Aprovação do Orçamento</a:t>
          </a:r>
        </a:p>
      </dgm:t>
    </dgm:pt>
    <dgm:pt modelId="{1C0CE30C-7444-4C33-BFC6-73D3FCDD450C}" type="parTrans" cxnId="{F1174FA7-1096-445F-82EF-D9BA84DEC3FA}">
      <dgm:prSet/>
      <dgm:spPr/>
      <dgm:t>
        <a:bodyPr/>
        <a:lstStyle/>
        <a:p>
          <a:pPr algn="ctr"/>
          <a:endParaRPr lang="pt-BR">
            <a:latin typeface="Arial" pitchFamily="34" charset="0"/>
            <a:cs typeface="Arial" pitchFamily="34" charset="0"/>
          </a:endParaRPr>
        </a:p>
      </dgm:t>
    </dgm:pt>
    <dgm:pt modelId="{414DC509-E3EB-43F8-B1DB-BBCF65F81333}" type="sibTrans" cxnId="{F1174FA7-1096-445F-82EF-D9BA84DEC3FA}">
      <dgm:prSet/>
      <dgm:spPr/>
      <dgm:t>
        <a:bodyPr/>
        <a:lstStyle/>
        <a:p>
          <a:pPr algn="ctr"/>
          <a:endParaRPr lang="pt-BR">
            <a:latin typeface="Arial" pitchFamily="34" charset="0"/>
            <a:cs typeface="Arial" pitchFamily="34" charset="0"/>
          </a:endParaRPr>
        </a:p>
      </dgm:t>
    </dgm:pt>
    <dgm:pt modelId="{21AABDF8-E799-4E80-9C69-992245C37EBE}">
      <dgm:prSet phldrT="[Texto]" custT="1"/>
      <dgm:spPr/>
      <dgm:t>
        <a:bodyPr/>
        <a:lstStyle/>
        <a:p>
          <a:pPr algn="ctr"/>
          <a:r>
            <a:rPr lang="pt-BR" sz="1200" b="1">
              <a:latin typeface="Arial" pitchFamily="34" charset="0"/>
              <a:cs typeface="Arial" pitchFamily="34" charset="0"/>
            </a:rPr>
            <a:t>Liberação das cotas de programação financeira</a:t>
          </a:r>
        </a:p>
      </dgm:t>
    </dgm:pt>
    <dgm:pt modelId="{56764C94-D31E-431A-9992-33692DC7583E}" type="parTrans" cxnId="{EF1B7200-5A3D-484F-A7D5-970D23E0143D}">
      <dgm:prSet/>
      <dgm:spPr/>
      <dgm:t>
        <a:bodyPr/>
        <a:lstStyle/>
        <a:p>
          <a:pPr algn="ctr"/>
          <a:endParaRPr lang="pt-BR">
            <a:latin typeface="Arial" pitchFamily="34" charset="0"/>
            <a:cs typeface="Arial" pitchFamily="34" charset="0"/>
          </a:endParaRPr>
        </a:p>
      </dgm:t>
    </dgm:pt>
    <dgm:pt modelId="{3C0AC152-3826-4403-B2B0-616918AD65FB}" type="sibTrans" cxnId="{EF1B7200-5A3D-484F-A7D5-970D23E0143D}">
      <dgm:prSet/>
      <dgm:spPr/>
      <dgm:t>
        <a:bodyPr/>
        <a:lstStyle/>
        <a:p>
          <a:pPr algn="ctr"/>
          <a:endParaRPr lang="pt-BR">
            <a:latin typeface="Arial" pitchFamily="34" charset="0"/>
            <a:cs typeface="Arial" pitchFamily="34" charset="0"/>
          </a:endParaRPr>
        </a:p>
      </dgm:t>
    </dgm:pt>
    <dgm:pt modelId="{A1EC9375-FDDE-456C-B154-22C617DD7F92}">
      <dgm:prSet phldrT="[Texto]" custT="1"/>
      <dgm:spPr/>
      <dgm:t>
        <a:bodyPr/>
        <a:lstStyle/>
        <a:p>
          <a:pPr algn="ctr"/>
          <a:r>
            <a:rPr lang="pt-BR" sz="1200" b="1">
              <a:latin typeface="Arial" pitchFamily="34" charset="0"/>
              <a:cs typeface="Arial" pitchFamily="34" charset="0"/>
            </a:rPr>
            <a:t>Emissão de empenhos/ pré-empenhos</a:t>
          </a:r>
        </a:p>
      </dgm:t>
    </dgm:pt>
    <dgm:pt modelId="{8FB72B2B-5427-4213-83B1-931FD4F2F915}" type="parTrans" cxnId="{04C1255F-5CCF-4C3A-B473-27DF405E4FD0}">
      <dgm:prSet/>
      <dgm:spPr/>
      <dgm:t>
        <a:bodyPr/>
        <a:lstStyle/>
        <a:p>
          <a:pPr algn="ctr"/>
          <a:endParaRPr lang="pt-BR">
            <a:latin typeface="Arial" pitchFamily="34" charset="0"/>
            <a:cs typeface="Arial" pitchFamily="34" charset="0"/>
          </a:endParaRPr>
        </a:p>
      </dgm:t>
    </dgm:pt>
    <dgm:pt modelId="{1E34441C-2C67-45E7-9181-F7377AB20475}" type="sibTrans" cxnId="{04C1255F-5CCF-4C3A-B473-27DF405E4FD0}">
      <dgm:prSet/>
      <dgm:spPr/>
      <dgm:t>
        <a:bodyPr/>
        <a:lstStyle/>
        <a:p>
          <a:pPr algn="ctr"/>
          <a:endParaRPr lang="pt-BR">
            <a:latin typeface="Arial" pitchFamily="34" charset="0"/>
            <a:cs typeface="Arial" pitchFamily="34" charset="0"/>
          </a:endParaRPr>
        </a:p>
      </dgm:t>
    </dgm:pt>
    <dgm:pt modelId="{9B99A216-A5AE-4216-9625-DEF7ED068D81}">
      <dgm:prSet phldrT="[Texto]" custT="1"/>
      <dgm:spPr/>
      <dgm:t>
        <a:bodyPr/>
        <a:lstStyle/>
        <a:p>
          <a:pPr algn="ctr"/>
          <a:r>
            <a:rPr lang="pt-BR" sz="1200" b="1">
              <a:latin typeface="Arial" pitchFamily="34" charset="0"/>
              <a:cs typeface="Arial" pitchFamily="34" charset="0"/>
            </a:rPr>
            <a:t>Liquidação da despesa</a:t>
          </a:r>
        </a:p>
      </dgm:t>
    </dgm:pt>
    <dgm:pt modelId="{0BA25D7E-AB9A-47FE-A92C-4AA8337AACE2}" type="parTrans" cxnId="{4264640A-FFF8-4395-9863-5B5F0C91144E}">
      <dgm:prSet/>
      <dgm:spPr/>
      <dgm:t>
        <a:bodyPr/>
        <a:lstStyle/>
        <a:p>
          <a:pPr algn="ctr"/>
          <a:endParaRPr lang="pt-BR">
            <a:latin typeface="Arial" pitchFamily="34" charset="0"/>
            <a:cs typeface="Arial" pitchFamily="34" charset="0"/>
          </a:endParaRPr>
        </a:p>
      </dgm:t>
    </dgm:pt>
    <dgm:pt modelId="{895721B9-A40E-4493-BD4F-197FE3BA1CC4}" type="sibTrans" cxnId="{4264640A-FFF8-4395-9863-5B5F0C91144E}">
      <dgm:prSet/>
      <dgm:spPr/>
      <dgm:t>
        <a:bodyPr/>
        <a:lstStyle/>
        <a:p>
          <a:pPr algn="ctr"/>
          <a:endParaRPr lang="pt-BR">
            <a:latin typeface="Arial" pitchFamily="34" charset="0"/>
            <a:cs typeface="Arial" pitchFamily="34" charset="0"/>
          </a:endParaRPr>
        </a:p>
      </dgm:t>
    </dgm:pt>
    <dgm:pt modelId="{3F9A25D2-0DDF-442E-A91F-D1267C0BA777}">
      <dgm:prSet phldrT="[Texto]" custT="1"/>
      <dgm:spPr/>
      <dgm:t>
        <a:bodyPr/>
        <a:lstStyle/>
        <a:p>
          <a:pPr algn="ctr"/>
          <a:r>
            <a:rPr lang="pt-BR" sz="1200" b="1">
              <a:latin typeface="Arial" pitchFamily="34" charset="0"/>
              <a:cs typeface="Arial" pitchFamily="34" charset="0"/>
            </a:rPr>
            <a:t>Pagamento</a:t>
          </a:r>
        </a:p>
      </dgm:t>
    </dgm:pt>
    <dgm:pt modelId="{04E4FF0B-86FA-45D5-9D80-ACE2CBFA96E9}" type="parTrans" cxnId="{A6711C2A-954B-49C0-BDAB-6D798D6B056C}">
      <dgm:prSet/>
      <dgm:spPr/>
      <dgm:t>
        <a:bodyPr/>
        <a:lstStyle/>
        <a:p>
          <a:pPr algn="ctr"/>
          <a:endParaRPr lang="pt-BR">
            <a:latin typeface="Arial" pitchFamily="34" charset="0"/>
            <a:cs typeface="Arial" pitchFamily="34" charset="0"/>
          </a:endParaRPr>
        </a:p>
      </dgm:t>
    </dgm:pt>
    <dgm:pt modelId="{AD1B3F93-74CD-4A3E-B71E-BC5BD531DC7A}" type="sibTrans" cxnId="{A6711C2A-954B-49C0-BDAB-6D798D6B056C}">
      <dgm:prSet/>
      <dgm:spPr/>
      <dgm:t>
        <a:bodyPr/>
        <a:lstStyle/>
        <a:p>
          <a:pPr algn="ctr"/>
          <a:endParaRPr lang="pt-BR">
            <a:latin typeface="Arial" pitchFamily="34" charset="0"/>
            <a:cs typeface="Arial" pitchFamily="34" charset="0"/>
          </a:endParaRPr>
        </a:p>
      </dgm:t>
    </dgm:pt>
    <dgm:pt modelId="{0439FFF1-0D0C-4C5D-9C5A-16CEC899B580}" type="pres">
      <dgm:prSet presAssocID="{52500903-F02C-4A54-81E4-7B80A41973A1}" presName="CompostProcess" presStyleCnt="0">
        <dgm:presLayoutVars>
          <dgm:dir/>
          <dgm:resizeHandles val="exact"/>
        </dgm:presLayoutVars>
      </dgm:prSet>
      <dgm:spPr/>
    </dgm:pt>
    <dgm:pt modelId="{53DA4D68-2457-4A1E-B965-9CCD892C6566}" type="pres">
      <dgm:prSet presAssocID="{52500903-F02C-4A54-81E4-7B80A41973A1}" presName="arrow" presStyleLbl="bgShp" presStyleIdx="0" presStyleCnt="1"/>
      <dgm:spPr/>
    </dgm:pt>
    <dgm:pt modelId="{322A4D60-518D-4BAE-B9E2-F06EACB7837F}" type="pres">
      <dgm:prSet presAssocID="{52500903-F02C-4A54-81E4-7B80A41973A1}" presName="linearProcess" presStyleCnt="0"/>
      <dgm:spPr/>
    </dgm:pt>
    <dgm:pt modelId="{4732F551-7EA0-4A2E-9640-C5472B1AB9AF}" type="pres">
      <dgm:prSet presAssocID="{2056C23B-FED4-4C32-B59F-4161B2EE7A9D}" presName="textNode" presStyleLbl="node1" presStyleIdx="0" presStyleCnt="5">
        <dgm:presLayoutVars>
          <dgm:bulletEnabled val="1"/>
        </dgm:presLayoutVars>
      </dgm:prSet>
      <dgm:spPr/>
      <dgm:t>
        <a:bodyPr/>
        <a:lstStyle/>
        <a:p>
          <a:endParaRPr lang="pt-BR"/>
        </a:p>
      </dgm:t>
    </dgm:pt>
    <dgm:pt modelId="{89716364-0917-4135-BF5E-8FDAD07F0CE2}" type="pres">
      <dgm:prSet presAssocID="{414DC509-E3EB-43F8-B1DB-BBCF65F81333}" presName="sibTrans" presStyleCnt="0"/>
      <dgm:spPr/>
    </dgm:pt>
    <dgm:pt modelId="{D997DB3F-94D4-4C15-AC39-C29802A9B59E}" type="pres">
      <dgm:prSet presAssocID="{21AABDF8-E799-4E80-9C69-992245C37EBE}" presName="textNode" presStyleLbl="node1" presStyleIdx="1" presStyleCnt="5">
        <dgm:presLayoutVars>
          <dgm:bulletEnabled val="1"/>
        </dgm:presLayoutVars>
      </dgm:prSet>
      <dgm:spPr/>
      <dgm:t>
        <a:bodyPr/>
        <a:lstStyle/>
        <a:p>
          <a:endParaRPr lang="pt-BR"/>
        </a:p>
      </dgm:t>
    </dgm:pt>
    <dgm:pt modelId="{E13EA2AC-54E1-45C8-A663-D35E7D119944}" type="pres">
      <dgm:prSet presAssocID="{3C0AC152-3826-4403-B2B0-616918AD65FB}" presName="sibTrans" presStyleCnt="0"/>
      <dgm:spPr/>
    </dgm:pt>
    <dgm:pt modelId="{83888B18-8F91-4885-BB62-FC2E13D4E9FE}" type="pres">
      <dgm:prSet presAssocID="{A1EC9375-FDDE-456C-B154-22C617DD7F92}" presName="textNode" presStyleLbl="node1" presStyleIdx="2" presStyleCnt="5">
        <dgm:presLayoutVars>
          <dgm:bulletEnabled val="1"/>
        </dgm:presLayoutVars>
      </dgm:prSet>
      <dgm:spPr/>
      <dgm:t>
        <a:bodyPr/>
        <a:lstStyle/>
        <a:p>
          <a:endParaRPr lang="pt-BR"/>
        </a:p>
      </dgm:t>
    </dgm:pt>
    <dgm:pt modelId="{C6778893-BFC3-4BF3-B7D2-65DFCE90075C}" type="pres">
      <dgm:prSet presAssocID="{1E34441C-2C67-45E7-9181-F7377AB20475}" presName="sibTrans" presStyleCnt="0"/>
      <dgm:spPr/>
    </dgm:pt>
    <dgm:pt modelId="{ACD247C5-395C-4466-BE21-887EA18C0E0B}" type="pres">
      <dgm:prSet presAssocID="{9B99A216-A5AE-4216-9625-DEF7ED068D81}" presName="textNode" presStyleLbl="node1" presStyleIdx="3" presStyleCnt="5">
        <dgm:presLayoutVars>
          <dgm:bulletEnabled val="1"/>
        </dgm:presLayoutVars>
      </dgm:prSet>
      <dgm:spPr/>
      <dgm:t>
        <a:bodyPr/>
        <a:lstStyle/>
        <a:p>
          <a:endParaRPr lang="pt-BR"/>
        </a:p>
      </dgm:t>
    </dgm:pt>
    <dgm:pt modelId="{3BF77D67-478D-4C53-9358-783B8CAB6150}" type="pres">
      <dgm:prSet presAssocID="{895721B9-A40E-4493-BD4F-197FE3BA1CC4}" presName="sibTrans" presStyleCnt="0"/>
      <dgm:spPr/>
    </dgm:pt>
    <dgm:pt modelId="{E198D1F6-5CA0-48E7-B3BC-B8F232955F63}" type="pres">
      <dgm:prSet presAssocID="{3F9A25D2-0DDF-442E-A91F-D1267C0BA777}" presName="textNode" presStyleLbl="node1" presStyleIdx="4" presStyleCnt="5">
        <dgm:presLayoutVars>
          <dgm:bulletEnabled val="1"/>
        </dgm:presLayoutVars>
      </dgm:prSet>
      <dgm:spPr/>
      <dgm:t>
        <a:bodyPr/>
        <a:lstStyle/>
        <a:p>
          <a:endParaRPr lang="pt-BR"/>
        </a:p>
      </dgm:t>
    </dgm:pt>
  </dgm:ptLst>
  <dgm:cxnLst>
    <dgm:cxn modelId="{F8EB5CCB-E826-403C-81F4-D276669A6AF5}" type="presOf" srcId="{9B99A216-A5AE-4216-9625-DEF7ED068D81}" destId="{ACD247C5-395C-4466-BE21-887EA18C0E0B}" srcOrd="0" destOrd="0" presId="urn:microsoft.com/office/officeart/2005/8/layout/hProcess9"/>
    <dgm:cxn modelId="{A6711C2A-954B-49C0-BDAB-6D798D6B056C}" srcId="{52500903-F02C-4A54-81E4-7B80A41973A1}" destId="{3F9A25D2-0DDF-442E-A91F-D1267C0BA777}" srcOrd="4" destOrd="0" parTransId="{04E4FF0B-86FA-45D5-9D80-ACE2CBFA96E9}" sibTransId="{AD1B3F93-74CD-4A3E-B71E-BC5BD531DC7A}"/>
    <dgm:cxn modelId="{349FAADF-FFF0-48A7-AED6-E65568020357}" type="presOf" srcId="{A1EC9375-FDDE-456C-B154-22C617DD7F92}" destId="{83888B18-8F91-4885-BB62-FC2E13D4E9FE}" srcOrd="0" destOrd="0" presId="urn:microsoft.com/office/officeart/2005/8/layout/hProcess9"/>
    <dgm:cxn modelId="{CA27E37F-744C-46A1-90E2-CC54D7B77D09}" type="presOf" srcId="{52500903-F02C-4A54-81E4-7B80A41973A1}" destId="{0439FFF1-0D0C-4C5D-9C5A-16CEC899B580}" srcOrd="0" destOrd="0" presId="urn:microsoft.com/office/officeart/2005/8/layout/hProcess9"/>
    <dgm:cxn modelId="{F1174FA7-1096-445F-82EF-D9BA84DEC3FA}" srcId="{52500903-F02C-4A54-81E4-7B80A41973A1}" destId="{2056C23B-FED4-4C32-B59F-4161B2EE7A9D}" srcOrd="0" destOrd="0" parTransId="{1C0CE30C-7444-4C33-BFC6-73D3FCDD450C}" sibTransId="{414DC509-E3EB-43F8-B1DB-BBCF65F81333}"/>
    <dgm:cxn modelId="{4264640A-FFF8-4395-9863-5B5F0C91144E}" srcId="{52500903-F02C-4A54-81E4-7B80A41973A1}" destId="{9B99A216-A5AE-4216-9625-DEF7ED068D81}" srcOrd="3" destOrd="0" parTransId="{0BA25D7E-AB9A-47FE-A92C-4AA8337AACE2}" sibTransId="{895721B9-A40E-4493-BD4F-197FE3BA1CC4}"/>
    <dgm:cxn modelId="{04C1255F-5CCF-4C3A-B473-27DF405E4FD0}" srcId="{52500903-F02C-4A54-81E4-7B80A41973A1}" destId="{A1EC9375-FDDE-456C-B154-22C617DD7F92}" srcOrd="2" destOrd="0" parTransId="{8FB72B2B-5427-4213-83B1-931FD4F2F915}" sibTransId="{1E34441C-2C67-45E7-9181-F7377AB20475}"/>
    <dgm:cxn modelId="{EF1B7200-5A3D-484F-A7D5-970D23E0143D}" srcId="{52500903-F02C-4A54-81E4-7B80A41973A1}" destId="{21AABDF8-E799-4E80-9C69-992245C37EBE}" srcOrd="1" destOrd="0" parTransId="{56764C94-D31E-431A-9992-33692DC7583E}" sibTransId="{3C0AC152-3826-4403-B2B0-616918AD65FB}"/>
    <dgm:cxn modelId="{E85AB282-6B1B-45C8-A282-DA158E6536CA}" type="presOf" srcId="{3F9A25D2-0DDF-442E-A91F-D1267C0BA777}" destId="{E198D1F6-5CA0-48E7-B3BC-B8F232955F63}" srcOrd="0" destOrd="0" presId="urn:microsoft.com/office/officeart/2005/8/layout/hProcess9"/>
    <dgm:cxn modelId="{C6390E32-877A-4704-B052-A435DC1F1F2A}" type="presOf" srcId="{21AABDF8-E799-4E80-9C69-992245C37EBE}" destId="{D997DB3F-94D4-4C15-AC39-C29802A9B59E}" srcOrd="0" destOrd="0" presId="urn:microsoft.com/office/officeart/2005/8/layout/hProcess9"/>
    <dgm:cxn modelId="{0CD43E91-FCFF-4EFE-8B9D-0E9807FA2338}" type="presOf" srcId="{2056C23B-FED4-4C32-B59F-4161B2EE7A9D}" destId="{4732F551-7EA0-4A2E-9640-C5472B1AB9AF}" srcOrd="0" destOrd="0" presId="urn:microsoft.com/office/officeart/2005/8/layout/hProcess9"/>
    <dgm:cxn modelId="{C39D6506-06A8-46A1-BB2B-F5D0FF3B1B64}" type="presParOf" srcId="{0439FFF1-0D0C-4C5D-9C5A-16CEC899B580}" destId="{53DA4D68-2457-4A1E-B965-9CCD892C6566}" srcOrd="0" destOrd="0" presId="urn:microsoft.com/office/officeart/2005/8/layout/hProcess9"/>
    <dgm:cxn modelId="{2436CD62-5AB0-4A71-8B03-4E509654A9CC}" type="presParOf" srcId="{0439FFF1-0D0C-4C5D-9C5A-16CEC899B580}" destId="{322A4D60-518D-4BAE-B9E2-F06EACB7837F}" srcOrd="1" destOrd="0" presId="urn:microsoft.com/office/officeart/2005/8/layout/hProcess9"/>
    <dgm:cxn modelId="{8A8B28EE-C4FC-4293-9C04-8CBBB6151E8B}" type="presParOf" srcId="{322A4D60-518D-4BAE-B9E2-F06EACB7837F}" destId="{4732F551-7EA0-4A2E-9640-C5472B1AB9AF}" srcOrd="0" destOrd="0" presId="urn:microsoft.com/office/officeart/2005/8/layout/hProcess9"/>
    <dgm:cxn modelId="{0741EC6D-F191-41B0-892A-165DFBF5C83B}" type="presParOf" srcId="{322A4D60-518D-4BAE-B9E2-F06EACB7837F}" destId="{89716364-0917-4135-BF5E-8FDAD07F0CE2}" srcOrd="1" destOrd="0" presId="urn:microsoft.com/office/officeart/2005/8/layout/hProcess9"/>
    <dgm:cxn modelId="{2C5B46A9-8573-47CF-91CB-258A1BC93992}" type="presParOf" srcId="{322A4D60-518D-4BAE-B9E2-F06EACB7837F}" destId="{D997DB3F-94D4-4C15-AC39-C29802A9B59E}" srcOrd="2" destOrd="0" presId="urn:microsoft.com/office/officeart/2005/8/layout/hProcess9"/>
    <dgm:cxn modelId="{81718E0A-4ECC-4577-B48A-A84A2A8D2587}" type="presParOf" srcId="{322A4D60-518D-4BAE-B9E2-F06EACB7837F}" destId="{E13EA2AC-54E1-45C8-A663-D35E7D119944}" srcOrd="3" destOrd="0" presId="urn:microsoft.com/office/officeart/2005/8/layout/hProcess9"/>
    <dgm:cxn modelId="{274D4193-1E8E-4FD8-BDD7-EDEDC03E197B}" type="presParOf" srcId="{322A4D60-518D-4BAE-B9E2-F06EACB7837F}" destId="{83888B18-8F91-4885-BB62-FC2E13D4E9FE}" srcOrd="4" destOrd="0" presId="urn:microsoft.com/office/officeart/2005/8/layout/hProcess9"/>
    <dgm:cxn modelId="{9BC7F258-2279-4A04-A7A7-808EF25828A9}" type="presParOf" srcId="{322A4D60-518D-4BAE-B9E2-F06EACB7837F}" destId="{C6778893-BFC3-4BF3-B7D2-65DFCE90075C}" srcOrd="5" destOrd="0" presId="urn:microsoft.com/office/officeart/2005/8/layout/hProcess9"/>
    <dgm:cxn modelId="{681944FC-69DC-4F94-BD9E-812D427CD2AE}" type="presParOf" srcId="{322A4D60-518D-4BAE-B9E2-F06EACB7837F}" destId="{ACD247C5-395C-4466-BE21-887EA18C0E0B}" srcOrd="6" destOrd="0" presId="urn:microsoft.com/office/officeart/2005/8/layout/hProcess9"/>
    <dgm:cxn modelId="{C6F5F045-2266-4065-B09F-91F64CEF9DAB}" type="presParOf" srcId="{322A4D60-518D-4BAE-B9E2-F06EACB7837F}" destId="{3BF77D67-478D-4C53-9358-783B8CAB6150}" srcOrd="7" destOrd="0" presId="urn:microsoft.com/office/officeart/2005/8/layout/hProcess9"/>
    <dgm:cxn modelId="{AAEAAD7E-8C2D-44B3-B04C-274ED872E184}" type="presParOf" srcId="{322A4D60-518D-4BAE-B9E2-F06EACB7837F}" destId="{E198D1F6-5CA0-48E7-B3BC-B8F232955F63}"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A4D68-2457-4A1E-B965-9CCD892C6566}">
      <dsp:nvSpPr>
        <dsp:cNvPr id="0" name=""/>
        <dsp:cNvSpPr/>
      </dsp:nvSpPr>
      <dsp:spPr>
        <a:xfrm>
          <a:off x="732738" y="0"/>
          <a:ext cx="8304365" cy="4071487"/>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32F551-7EA0-4A2E-9640-C5472B1AB9AF}">
      <dsp:nvSpPr>
        <dsp:cNvPr id="0" name=""/>
        <dsp:cNvSpPr/>
      </dsp:nvSpPr>
      <dsp:spPr>
        <a:xfrm>
          <a:off x="2862" y="1221446"/>
          <a:ext cx="1723079" cy="16285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latin typeface="Arial" pitchFamily="34" charset="0"/>
              <a:cs typeface="Arial" pitchFamily="34" charset="0"/>
            </a:rPr>
            <a:t>Aprovação do Orçamento</a:t>
          </a:r>
        </a:p>
      </dsp:txBody>
      <dsp:txXfrm>
        <a:off x="82363" y="1300947"/>
        <a:ext cx="1564077" cy="1469592"/>
      </dsp:txXfrm>
    </dsp:sp>
    <dsp:sp modelId="{D997DB3F-94D4-4C15-AC39-C29802A9B59E}">
      <dsp:nvSpPr>
        <dsp:cNvPr id="0" name=""/>
        <dsp:cNvSpPr/>
      </dsp:nvSpPr>
      <dsp:spPr>
        <a:xfrm>
          <a:off x="2013121" y="1221446"/>
          <a:ext cx="1723079" cy="16285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latin typeface="Arial" pitchFamily="34" charset="0"/>
              <a:cs typeface="Arial" pitchFamily="34" charset="0"/>
            </a:rPr>
            <a:t>Liberação das cotas de programação financeira</a:t>
          </a:r>
        </a:p>
      </dsp:txBody>
      <dsp:txXfrm>
        <a:off x="2092622" y="1300947"/>
        <a:ext cx="1564077" cy="1469592"/>
      </dsp:txXfrm>
    </dsp:sp>
    <dsp:sp modelId="{83888B18-8F91-4885-BB62-FC2E13D4E9FE}">
      <dsp:nvSpPr>
        <dsp:cNvPr id="0" name=""/>
        <dsp:cNvSpPr/>
      </dsp:nvSpPr>
      <dsp:spPr>
        <a:xfrm>
          <a:off x="4023381" y="1221446"/>
          <a:ext cx="1723079" cy="16285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latin typeface="Arial" pitchFamily="34" charset="0"/>
              <a:cs typeface="Arial" pitchFamily="34" charset="0"/>
            </a:rPr>
            <a:t>Emissão de empenhos/ pré-empenhos</a:t>
          </a:r>
        </a:p>
      </dsp:txBody>
      <dsp:txXfrm>
        <a:off x="4102882" y="1300947"/>
        <a:ext cx="1564077" cy="1469592"/>
      </dsp:txXfrm>
    </dsp:sp>
    <dsp:sp modelId="{ACD247C5-395C-4466-BE21-887EA18C0E0B}">
      <dsp:nvSpPr>
        <dsp:cNvPr id="0" name=""/>
        <dsp:cNvSpPr/>
      </dsp:nvSpPr>
      <dsp:spPr>
        <a:xfrm>
          <a:off x="6033640" y="1221446"/>
          <a:ext cx="1723079" cy="16285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latin typeface="Arial" pitchFamily="34" charset="0"/>
              <a:cs typeface="Arial" pitchFamily="34" charset="0"/>
            </a:rPr>
            <a:t>Liquidação da despesa</a:t>
          </a:r>
        </a:p>
      </dsp:txBody>
      <dsp:txXfrm>
        <a:off x="6113141" y="1300947"/>
        <a:ext cx="1564077" cy="1469592"/>
      </dsp:txXfrm>
    </dsp:sp>
    <dsp:sp modelId="{E198D1F6-5CA0-48E7-B3BC-B8F232955F63}">
      <dsp:nvSpPr>
        <dsp:cNvPr id="0" name=""/>
        <dsp:cNvSpPr/>
      </dsp:nvSpPr>
      <dsp:spPr>
        <a:xfrm>
          <a:off x="8043900" y="1221446"/>
          <a:ext cx="1723079" cy="16285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latin typeface="Arial" pitchFamily="34" charset="0"/>
              <a:cs typeface="Arial" pitchFamily="34" charset="0"/>
            </a:rPr>
            <a:t>Pagamento</a:t>
          </a:r>
        </a:p>
      </dsp:txBody>
      <dsp:txXfrm>
        <a:off x="8123401" y="1300947"/>
        <a:ext cx="1564077" cy="146959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34F44-FA9D-4593-B7E8-9D1F15E76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2451</Words>
  <Characters>13238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bsinzato</dc:creator>
  <cp:lastModifiedBy>Daniel Neves Damiani</cp:lastModifiedBy>
  <cp:revision>2</cp:revision>
  <cp:lastPrinted>2015-02-18T19:46:00Z</cp:lastPrinted>
  <dcterms:created xsi:type="dcterms:W3CDTF">2023-05-22T18:44:00Z</dcterms:created>
  <dcterms:modified xsi:type="dcterms:W3CDTF">2023-05-22T18:44:00Z</dcterms:modified>
</cp:coreProperties>
</file>