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D592" w14:textId="77777777" w:rsidR="00A8308F" w:rsidRDefault="00A8308F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p w14:paraId="64032953" w14:textId="062184A3" w:rsidR="00144323" w:rsidRPr="00250007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0007">
        <w:rPr>
          <w:rFonts w:ascii="Arial" w:eastAsia="Times New Roman" w:hAnsi="Arial" w:cs="Arial"/>
          <w:b/>
          <w:bCs/>
          <w:lang w:eastAsia="pt-BR"/>
        </w:rPr>
        <w:t xml:space="preserve">INSTRUÇÃO NORMATIVA SEF n° </w:t>
      </w:r>
      <w:r w:rsidR="003350F8">
        <w:rPr>
          <w:rFonts w:ascii="Arial" w:eastAsia="Times New Roman" w:hAnsi="Arial" w:cs="Arial"/>
          <w:b/>
          <w:bCs/>
          <w:lang w:eastAsia="pt-BR"/>
        </w:rPr>
        <w:t>001</w:t>
      </w:r>
      <w:r w:rsidRPr="00250007">
        <w:rPr>
          <w:rFonts w:ascii="Arial" w:eastAsia="Times New Roman" w:hAnsi="Arial" w:cs="Arial"/>
          <w:b/>
          <w:bCs/>
          <w:lang w:eastAsia="pt-BR"/>
        </w:rPr>
        <w:t xml:space="preserve">, de </w:t>
      </w:r>
      <w:r w:rsidR="003350F8">
        <w:rPr>
          <w:rFonts w:ascii="Arial" w:eastAsia="Times New Roman" w:hAnsi="Arial" w:cs="Arial"/>
          <w:b/>
          <w:bCs/>
          <w:lang w:eastAsia="pt-BR"/>
        </w:rPr>
        <w:t>15</w:t>
      </w:r>
      <w:r w:rsidR="00802492" w:rsidRPr="00250007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50007">
        <w:rPr>
          <w:rFonts w:ascii="Arial" w:eastAsia="Times New Roman" w:hAnsi="Arial" w:cs="Arial"/>
          <w:b/>
          <w:bCs/>
          <w:lang w:eastAsia="pt-BR"/>
        </w:rPr>
        <w:t xml:space="preserve">de </w:t>
      </w:r>
      <w:r w:rsidR="003350F8">
        <w:rPr>
          <w:rFonts w:ascii="Arial" w:eastAsia="Times New Roman" w:hAnsi="Arial" w:cs="Arial"/>
          <w:b/>
          <w:bCs/>
          <w:lang w:eastAsia="pt-BR"/>
        </w:rPr>
        <w:t>janeiro</w:t>
      </w:r>
      <w:r w:rsidR="00802492" w:rsidRPr="00250007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250007">
        <w:rPr>
          <w:rFonts w:ascii="Arial" w:eastAsia="Times New Roman" w:hAnsi="Arial" w:cs="Arial"/>
          <w:b/>
          <w:bCs/>
          <w:lang w:eastAsia="pt-BR"/>
        </w:rPr>
        <w:t xml:space="preserve">de </w:t>
      </w:r>
      <w:r w:rsidR="00A11DB3" w:rsidRPr="00250007">
        <w:rPr>
          <w:rFonts w:ascii="Arial" w:eastAsia="Times New Roman" w:hAnsi="Arial" w:cs="Arial"/>
          <w:b/>
          <w:bCs/>
          <w:lang w:eastAsia="pt-BR"/>
        </w:rPr>
        <w:t>201</w:t>
      </w:r>
      <w:r w:rsidR="003350F8">
        <w:rPr>
          <w:rFonts w:ascii="Arial" w:eastAsia="Times New Roman" w:hAnsi="Arial" w:cs="Arial"/>
          <w:b/>
          <w:bCs/>
          <w:lang w:eastAsia="pt-BR"/>
        </w:rPr>
        <w:t>8</w:t>
      </w:r>
      <w:r w:rsidR="00AE3CC0">
        <w:rPr>
          <w:rFonts w:ascii="Arial" w:eastAsia="Times New Roman" w:hAnsi="Arial" w:cs="Arial"/>
          <w:b/>
          <w:bCs/>
          <w:lang w:eastAsia="pt-BR"/>
        </w:rPr>
        <w:t>.</w:t>
      </w:r>
    </w:p>
    <w:p w14:paraId="6855373B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2834C9B9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Uniformiza os atos e procedimentos adicionais a serem observados pelos órgãos e entidades integrantes do Sistema Administrativo de Controle Interno do Poder Executivo Estadual por ocasião da prestação de contas anual junto ao Tribunal de Contas do Estado de Santa Catarina.</w:t>
      </w:r>
    </w:p>
    <w:p w14:paraId="0C2B7848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7AB20CDD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A SECRETARIA DE ESTADO DA FAZENDA</w:t>
      </w:r>
      <w:r w:rsidRPr="006B7AC9">
        <w:rPr>
          <w:rFonts w:ascii="Arial" w:eastAsia="Times New Roman" w:hAnsi="Arial" w:cs="Arial"/>
          <w:color w:val="000000"/>
          <w:lang w:eastAsia="pt-BR"/>
        </w:rPr>
        <w:t>, Órgão Central do Sistema Administrativo de Controle Interno do Poder Executivo Estadual, no uso de suas atribuições conferidas pelo § 1º do art. 150 da Lei Complementar nº 381, de 07 de maio de 2007 e incisos I e II do art. 24 do Decreto nº 2.056, de 20 de janeiro de 2009;</w:t>
      </w:r>
    </w:p>
    <w:p w14:paraId="1BA468A8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0D4FBDF1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RESOLVE:</w:t>
      </w:r>
    </w:p>
    <w:p w14:paraId="47366FE9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0E7021AD" w14:textId="0BAE4948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 xml:space="preserve">Art. 1º Aprovar Norma Procedimental para apresentação dos Relatórios de Controle Interno, relativos ao exame da Prestação Anual de Contas de Gestão do exercício de </w:t>
      </w:r>
      <w:r w:rsidR="006E398B" w:rsidRPr="006B7AC9">
        <w:rPr>
          <w:rFonts w:ascii="Arial" w:eastAsia="Times New Roman" w:hAnsi="Arial" w:cs="Arial"/>
          <w:color w:val="000000"/>
          <w:lang w:eastAsia="pt-BR"/>
        </w:rPr>
        <w:t>2017</w:t>
      </w:r>
      <w:r w:rsidRPr="006B7AC9">
        <w:rPr>
          <w:rFonts w:ascii="Arial" w:eastAsia="Times New Roman" w:hAnsi="Arial" w:cs="Arial"/>
          <w:color w:val="000000"/>
          <w:lang w:eastAsia="pt-BR"/>
        </w:rPr>
        <w:t>, às unidades administrativas responsáveis pelas atividades de controle interno que compreendem o Sistema Administrativo de Controle Interno na proposição do art. 3º, incisos III a V do Decreto nº 2.056 de 20 de janeiro de 2009, na forma do Anexo I desta Instrução.</w:t>
      </w:r>
    </w:p>
    <w:p w14:paraId="7EC8B020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7419CA5C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Art. 2º Esta Instrução Normativa entra em vigor na data de sua publicação.</w:t>
      </w:r>
    </w:p>
    <w:p w14:paraId="1C752CAD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563FA90F" w14:textId="11A1D977" w:rsidR="00144323" w:rsidRPr="00250007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50007">
        <w:rPr>
          <w:rFonts w:ascii="Arial" w:eastAsia="Times New Roman" w:hAnsi="Arial" w:cs="Arial"/>
          <w:lang w:eastAsia="pt-BR"/>
        </w:rPr>
        <w:t>Florianópolis (SC),</w:t>
      </w:r>
      <w:r w:rsidR="00EC7545" w:rsidRPr="00250007">
        <w:rPr>
          <w:rFonts w:ascii="Arial" w:eastAsia="Times New Roman" w:hAnsi="Arial" w:cs="Arial"/>
          <w:lang w:eastAsia="pt-BR"/>
        </w:rPr>
        <w:t xml:space="preserve"> </w:t>
      </w:r>
      <w:r w:rsidR="008C5E2E">
        <w:rPr>
          <w:rFonts w:ascii="Arial" w:eastAsia="Times New Roman" w:hAnsi="Arial" w:cs="Arial"/>
          <w:lang w:eastAsia="pt-BR"/>
        </w:rPr>
        <w:t>15</w:t>
      </w:r>
      <w:r w:rsidR="00EC7545" w:rsidRPr="00250007">
        <w:rPr>
          <w:rFonts w:ascii="Arial" w:eastAsia="Times New Roman" w:hAnsi="Arial" w:cs="Arial"/>
          <w:lang w:eastAsia="pt-BR"/>
        </w:rPr>
        <w:t xml:space="preserve"> de </w:t>
      </w:r>
      <w:r w:rsidR="008C5E2E">
        <w:rPr>
          <w:rFonts w:ascii="Arial" w:eastAsia="Times New Roman" w:hAnsi="Arial" w:cs="Arial"/>
          <w:lang w:eastAsia="pt-BR"/>
        </w:rPr>
        <w:t>janeiro</w:t>
      </w:r>
      <w:r w:rsidR="00EC7545" w:rsidRPr="00250007">
        <w:rPr>
          <w:rFonts w:ascii="Arial" w:eastAsia="Times New Roman" w:hAnsi="Arial" w:cs="Arial"/>
          <w:lang w:eastAsia="pt-BR"/>
        </w:rPr>
        <w:t xml:space="preserve"> de 201</w:t>
      </w:r>
      <w:r w:rsidR="008C5E2E">
        <w:rPr>
          <w:rFonts w:ascii="Arial" w:eastAsia="Times New Roman" w:hAnsi="Arial" w:cs="Arial"/>
          <w:lang w:eastAsia="pt-BR"/>
        </w:rPr>
        <w:t>8</w:t>
      </w:r>
      <w:r w:rsidRPr="00250007">
        <w:rPr>
          <w:rFonts w:ascii="Arial" w:eastAsia="Times New Roman" w:hAnsi="Arial" w:cs="Arial"/>
          <w:lang w:eastAsia="pt-BR"/>
        </w:rPr>
        <w:t>.</w:t>
      </w:r>
    </w:p>
    <w:p w14:paraId="634597D6" w14:textId="77777777" w:rsidR="00144323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6E2C1E93" w14:textId="77777777" w:rsidR="006B0801" w:rsidRPr="006B7AC9" w:rsidRDefault="006B0801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FDEE273" w14:textId="2B6862AF" w:rsidR="00144323" w:rsidRPr="006B7AC9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>Renato Dias Marques de Lacerda</w:t>
      </w:r>
    </w:p>
    <w:p w14:paraId="24A263B2" w14:textId="77777777" w:rsidR="00144323" w:rsidRDefault="00144323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Secretário de Estado da Fazenda</w:t>
      </w:r>
    </w:p>
    <w:p w14:paraId="2D9DF0E7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F2F9F5E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01019DA3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6092A71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8ADFBAF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659D2437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883424C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E93422A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25E15F5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E7D2388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01C8F5D9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58C265B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CA81E18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8974F92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7FD44723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0DBA0546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4691623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3E831009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450B0282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26C1BE1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18765ABC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490B619B" w14:textId="77777777" w:rsidR="006B0801" w:rsidRDefault="006B0801" w:rsidP="006B0801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464CFAE" w14:textId="77777777" w:rsidR="00144323" w:rsidRPr="006B7AC9" w:rsidRDefault="00144323" w:rsidP="0014432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ANEXO I</w:t>
      </w:r>
    </w:p>
    <w:p w14:paraId="3A802A64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61E7128C" w14:textId="3AA261B5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 xml:space="preserve">NORMA PROCEDIMENTAL PARA APRESENTAÇÃO DOS RELATÓRIOS DE CONTROLE INTERNO, RELATIVOS AO EXAME DA PRESTAÇÃO ANUAL DE CONTAS DE GESTÃO DO EXERCÍCIO DE </w:t>
      </w:r>
      <w:r w:rsidR="006E398B" w:rsidRPr="006B7AC9">
        <w:rPr>
          <w:rFonts w:ascii="Arial" w:eastAsia="Times New Roman" w:hAnsi="Arial" w:cs="Arial"/>
          <w:color w:val="000000"/>
          <w:lang w:eastAsia="pt-BR"/>
        </w:rPr>
        <w:t>2017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78BF64FD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61923FD6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1. Aspectos Gerais</w:t>
      </w:r>
    </w:p>
    <w:p w14:paraId="42A7CD62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3A7EFDDF" w14:textId="2CBC3CEE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Esta Norma Procedimental tem por objetivo orientar os responsáveis pelo controle interno e gestores dos órgãos e entidades integrantes do Sistema de Controle Interno no âmbito do Poder Executivo Estadual, nos termos da Instrução Normativa nº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20, de 31 de agosto de 2015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>, Portaria N. TC-0362, de 12 de julho de 2016, Portaria N. TC–01</w:t>
      </w:r>
      <w:r w:rsidR="0099780A" w:rsidRPr="006B7AC9">
        <w:rPr>
          <w:rFonts w:ascii="Arial" w:eastAsia="Times New Roman" w:hAnsi="Arial" w:cs="Arial"/>
          <w:color w:val="000000"/>
          <w:lang w:eastAsia="pt-BR"/>
        </w:rPr>
        <w:t>0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 xml:space="preserve">6, de 01 de março de 2017 </w:t>
      </w:r>
      <w:r w:rsidRPr="006B7AC9">
        <w:rPr>
          <w:rFonts w:ascii="Arial" w:eastAsia="Times New Roman" w:hAnsi="Arial" w:cs="Arial"/>
          <w:color w:val="000000"/>
          <w:lang w:eastAsia="pt-BR"/>
        </w:rPr>
        <w:t>e alterações.</w:t>
      </w:r>
    </w:p>
    <w:p w14:paraId="34DE229D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48E2A944" w14:textId="72F4F728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1.1 Para os fins do disposto nesta </w:t>
      </w:r>
      <w:r w:rsidR="0003720C" w:rsidRPr="006B7AC9">
        <w:rPr>
          <w:rFonts w:ascii="Arial" w:eastAsia="Times New Roman" w:hAnsi="Arial" w:cs="Arial"/>
          <w:b/>
          <w:bCs/>
          <w:color w:val="000000"/>
          <w:lang w:eastAsia="pt-BR"/>
        </w:rPr>
        <w:t>Instrução Normativa</w:t>
      </w:r>
      <w:proofErr w:type="gramStart"/>
      <w:r w:rsidR="0003720C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,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considera-se</w:t>
      </w:r>
      <w:proofErr w:type="gramEnd"/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:</w:t>
      </w:r>
    </w:p>
    <w:p w14:paraId="3A847370" w14:textId="4522F0F8" w:rsidR="00144323" w:rsidRPr="006B7AC9" w:rsidRDefault="00144323" w:rsidP="00144323">
      <w:pPr>
        <w:spacing w:after="0" w:line="240" w:lineRule="auto"/>
        <w:ind w:left="993" w:right="-1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4D7272" w14:textId="7997B81D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I 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Sistema de Controle Interno (SCI):</w:t>
      </w:r>
      <w:r w:rsid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conjunto de unidades técnicas, articuladas a partir de um órgão central de coordenação, orientadas para o desempenho das atribuições de controle interno.</w:t>
      </w:r>
    </w:p>
    <w:p w14:paraId="642C4253" w14:textId="1982AC91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F94BDD" w14:textId="0E3DD48C" w:rsidR="00144323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II 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Unidade de Controle Interno (UCI):</w:t>
      </w:r>
      <w:r w:rsid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denominação utilizada para identificar a Unidade Organizacional responsável por avaliar os procedimentos dos atos praticados com as normas vigentes e princípios constitucionais objetivando, no âmbito da Unidade Gestora (UG), o aperfeiçoamento e melhoria dos controles internos. Para fins desta IN as Unidades de Controladoria, Auditoria Interna e assemelhadas das Empresas Estatais Dependentes abrangidas pelo Decreto nº 2.056/2009 serão 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denominadas </w:t>
      </w:r>
      <w:proofErr w:type="spellStart"/>
      <w:r w:rsidRPr="006B7AC9">
        <w:rPr>
          <w:rFonts w:ascii="Arial" w:eastAsia="Times New Roman" w:hAnsi="Arial" w:cs="Arial"/>
          <w:color w:val="000000"/>
          <w:lang w:eastAsia="pt-BR"/>
        </w:rPr>
        <w:t>UCIs</w:t>
      </w:r>
      <w:proofErr w:type="spellEnd"/>
      <w:r w:rsidRPr="006B7AC9">
        <w:rPr>
          <w:rFonts w:ascii="Arial" w:eastAsia="Times New Roman" w:hAnsi="Arial" w:cs="Arial"/>
          <w:color w:val="000000"/>
          <w:lang w:eastAsia="pt-BR"/>
        </w:rPr>
        <w:t>.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10B6F9E9" w14:textId="77777777" w:rsidR="00AE3CC0" w:rsidRPr="006B7AC9" w:rsidRDefault="00AE3CC0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C20E3D3" w14:textId="00B58B14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III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 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Unidade Jurisdicionada (UJ):</w:t>
      </w:r>
      <w:r w:rsidR="00B11D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terminologia utilizada pelo TCE e pelo Sistema de Controle Interno para fazer referência à UG que deve apresentar o Processo de Prestação de Contas Anual de Gestão no corrente exercício.</w:t>
      </w:r>
    </w:p>
    <w:p w14:paraId="34D0E4DA" w14:textId="444599DF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CE858CF" w14:textId="724F7DCB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IV</w:t>
      </w:r>
      <w:r w:rsidR="00DF683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Papéis de Trabalho:</w:t>
      </w:r>
      <w:r w:rsidR="00B11D04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quaisquer documentos que comprovem a realização dos procedimentos de controle e a exatidão das informações apresentadas.</w:t>
      </w:r>
    </w:p>
    <w:p w14:paraId="08A3E055" w14:textId="3D2CE77D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1E1DC45" w14:textId="1E1E04F1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V</w:t>
      </w:r>
      <w:r w:rsidR="00DF683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="007F74E4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Prestação An</w:t>
      </w:r>
      <w:r w:rsidR="00B11D04">
        <w:rPr>
          <w:rFonts w:ascii="Arial" w:eastAsia="Times New Roman" w:hAnsi="Arial" w:cs="Arial"/>
          <w:b/>
          <w:bCs/>
          <w:color w:val="000000"/>
          <w:lang w:eastAsia="pt-BR"/>
        </w:rPr>
        <w:t xml:space="preserve">ual de Contas de Gestão (PCG) -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conjunto de informações individualizadas relativas à UJ, sobre a execução do orçamento e dos atos administrativos correspondentes. Para organização e composição, as </w:t>
      </w:r>
      <w:proofErr w:type="spellStart"/>
      <w:r w:rsidRPr="006B7AC9">
        <w:rPr>
          <w:rFonts w:ascii="Arial" w:eastAsia="Times New Roman" w:hAnsi="Arial" w:cs="Arial"/>
          <w:color w:val="000000"/>
          <w:lang w:eastAsia="pt-BR"/>
        </w:rPr>
        <w:t>UJs</w:t>
      </w:r>
      <w:proofErr w:type="spellEnd"/>
      <w:r w:rsidRPr="006B7AC9">
        <w:rPr>
          <w:rFonts w:ascii="Arial" w:eastAsia="Times New Roman" w:hAnsi="Arial" w:cs="Arial"/>
          <w:color w:val="000000"/>
          <w:lang w:eastAsia="pt-BR"/>
        </w:rPr>
        <w:t xml:space="preserve"> devem seguir as determinações contidas na IN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 xml:space="preserve"> e alterações, bem como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nos normativos expedidos pelo Poder Executivo</w:t>
      </w:r>
      <w:r w:rsidR="0003720C" w:rsidRPr="006B7AC9">
        <w:rPr>
          <w:rFonts w:ascii="Arial" w:eastAsia="Times New Roman" w:hAnsi="Arial" w:cs="Arial"/>
          <w:color w:val="000000"/>
          <w:lang w:eastAsia="pt-BR"/>
        </w:rPr>
        <w:t xml:space="preserve"> estadual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20CC102B" w14:textId="7EB97A54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F9517F0" w14:textId="06CA9E68" w:rsidR="00144323" w:rsidRPr="006B7AC9" w:rsidRDefault="00DF6831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VI 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="00144323" w:rsidRPr="006B7AC9">
        <w:rPr>
          <w:rFonts w:ascii="Arial" w:eastAsia="Times New Roman" w:hAnsi="Arial" w:cs="Arial"/>
          <w:b/>
          <w:bCs/>
          <w:color w:val="000000"/>
          <w:lang w:eastAsia="pt-BR"/>
        </w:rPr>
        <w:t>Relató</w:t>
      </w:r>
      <w:r w:rsidR="00B11D04">
        <w:rPr>
          <w:rFonts w:ascii="Arial" w:eastAsia="Times New Roman" w:hAnsi="Arial" w:cs="Arial"/>
          <w:b/>
          <w:bCs/>
          <w:color w:val="000000"/>
          <w:lang w:eastAsia="pt-BR"/>
        </w:rPr>
        <w:t xml:space="preserve">rio do Controle Interno (RCI) –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relatório anual produzido pela UCI da UJ relativo ao exame da PCG, contendo, no mínimo, os elementos indicados no Anexo VII da IN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20/2015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="0031769C" w:rsidRPr="006B7AC9">
        <w:rPr>
          <w:rFonts w:ascii="Arial" w:eastAsia="Times New Roman" w:hAnsi="Arial" w:cs="Arial"/>
          <w:color w:val="000000"/>
          <w:lang w:eastAsia="pt-BR"/>
        </w:rPr>
        <w:t xml:space="preserve">alterado pela 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>Portaria N. TC–0362/2016</w:t>
      </w:r>
      <w:r w:rsidR="0031769C" w:rsidRPr="006B7AC9">
        <w:rPr>
          <w:rFonts w:ascii="Arial" w:eastAsia="Times New Roman" w:hAnsi="Arial" w:cs="Arial"/>
          <w:color w:val="000000"/>
          <w:lang w:eastAsia="pt-BR"/>
        </w:rPr>
        <w:t xml:space="preserve"> e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 xml:space="preserve"> Portaria N. TC–01</w:t>
      </w:r>
      <w:r w:rsidR="0099780A" w:rsidRPr="006B7AC9">
        <w:rPr>
          <w:rFonts w:ascii="Arial" w:eastAsia="Times New Roman" w:hAnsi="Arial" w:cs="Arial"/>
          <w:color w:val="000000"/>
          <w:lang w:eastAsia="pt-BR"/>
        </w:rPr>
        <w:t>0</w:t>
      </w:r>
      <w:r w:rsidR="0032764D" w:rsidRPr="006B7AC9">
        <w:rPr>
          <w:rFonts w:ascii="Arial" w:eastAsia="Times New Roman" w:hAnsi="Arial" w:cs="Arial"/>
          <w:color w:val="000000"/>
          <w:lang w:eastAsia="pt-BR"/>
        </w:rPr>
        <w:t>6/2017</w:t>
      </w:r>
      <w:r w:rsidR="0031769C" w:rsidRPr="006B7AC9">
        <w:rPr>
          <w:rFonts w:ascii="Arial" w:eastAsia="Times New Roman" w:hAnsi="Arial" w:cs="Arial"/>
          <w:color w:val="000000"/>
          <w:lang w:eastAsia="pt-BR"/>
        </w:rPr>
        <w:t>, bem como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 os indicados nesta IN.</w:t>
      </w:r>
    </w:p>
    <w:p w14:paraId="25C4359F" w14:textId="2C96D324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349C9A9" w14:textId="7327C0AD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VII</w:t>
      </w:r>
      <w:r w:rsidR="00DF683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Parecer do Controle Interno (PCI) –</w:t>
      </w:r>
      <w:r w:rsidR="00B11D04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documento que formaliza a opinião do Órgão Central de Controle Interno do Poder Executivo Estadual,</w:t>
      </w:r>
      <w:r w:rsidR="00D4584F" w:rsidRPr="006B7AC9">
        <w:rPr>
          <w:rFonts w:ascii="Arial" w:eastAsia="Times New Roman" w:hAnsi="Arial" w:cs="Arial"/>
          <w:color w:val="000000"/>
          <w:lang w:eastAsia="pt-BR"/>
        </w:rPr>
        <w:t xml:space="preserve"> por meio da Diretoria de Auditoria Geral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 xml:space="preserve"> - DIAG</w:t>
      </w:r>
      <w:r w:rsidR="00D4584F" w:rsidRPr="006B7AC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fundamentado nas informações constantes </w:t>
      </w:r>
      <w:r w:rsidRPr="006B7AC9">
        <w:rPr>
          <w:rFonts w:ascii="Arial" w:eastAsia="Times New Roman" w:hAnsi="Arial" w:cs="Arial"/>
          <w:color w:val="000000"/>
          <w:lang w:eastAsia="pt-BR"/>
        </w:rPr>
        <w:lastRenderedPageBreak/>
        <w:t xml:space="preserve">no RCI emitido pela UCI setorial </w:t>
      </w:r>
      <w:r w:rsidR="0041274F">
        <w:rPr>
          <w:rFonts w:ascii="Arial" w:eastAsia="Times New Roman" w:hAnsi="Arial" w:cs="Arial"/>
          <w:color w:val="000000"/>
          <w:lang w:eastAsia="pt-BR"/>
        </w:rPr>
        <w:t xml:space="preserve">(secretarias de estado, fundos, agências de desenvolvimento regional) </w:t>
      </w:r>
      <w:r w:rsidRPr="006B7AC9">
        <w:rPr>
          <w:rFonts w:ascii="Arial" w:eastAsia="Times New Roman" w:hAnsi="Arial" w:cs="Arial"/>
          <w:color w:val="000000"/>
          <w:lang w:eastAsia="pt-BR"/>
        </w:rPr>
        <w:t>ou seccional</w:t>
      </w:r>
      <w:r w:rsidR="005D5FA9" w:rsidRPr="006B7AC9">
        <w:rPr>
          <w:rFonts w:ascii="Arial" w:eastAsia="Times New Roman" w:hAnsi="Arial" w:cs="Arial"/>
          <w:color w:val="000000"/>
          <w:lang w:eastAsia="pt-BR"/>
        </w:rPr>
        <w:t xml:space="preserve"> (autarquias e fundações públicas)</w:t>
      </w:r>
      <w:r w:rsidRPr="006B7AC9">
        <w:rPr>
          <w:rFonts w:ascii="Arial" w:eastAsia="Times New Roman" w:hAnsi="Arial" w:cs="Arial"/>
          <w:color w:val="000000"/>
          <w:lang w:eastAsia="pt-BR"/>
        </w:rPr>
        <w:t>, conforme § 1º do art. 16 da IN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20/2015.</w:t>
      </w:r>
      <w:r w:rsidR="005D5FA9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0CA3B5F" w14:textId="47C91488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954A9C5" w14:textId="209270F1" w:rsidR="00144323" w:rsidRPr="006B7AC9" w:rsidRDefault="00144323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VIII</w:t>
      </w:r>
      <w:r w:rsidR="00DF683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F74E4" w:rsidRPr="006B7AC9">
        <w:rPr>
          <w:rFonts w:ascii="Arial" w:eastAsia="Times New Roman" w:hAnsi="Arial" w:cs="Arial"/>
          <w:color w:val="000000"/>
          <w:lang w:eastAsia="pt-BR"/>
        </w:rPr>
        <w:t xml:space="preserve">-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Relatório de Gestão</w:t>
      </w:r>
      <w:r w:rsidR="00DF683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F6831">
        <w:rPr>
          <w:rFonts w:ascii="Arial" w:eastAsia="Times New Roman" w:hAnsi="Arial" w:cs="Arial"/>
          <w:b/>
          <w:bCs/>
          <w:color w:val="000000"/>
          <w:lang w:eastAsia="pt-BR"/>
        </w:rPr>
        <w:t xml:space="preserve">(RG) – </w:t>
      </w:r>
      <w:r w:rsidRPr="006B7AC9">
        <w:rPr>
          <w:rFonts w:ascii="Arial" w:eastAsia="Times New Roman" w:hAnsi="Arial" w:cs="Arial"/>
          <w:color w:val="000000"/>
          <w:lang w:eastAsia="pt-BR"/>
        </w:rPr>
        <w:t>relatório anual que demonstra a execução da programação orçamentária e o cumprimento das metas físicas, bem como avalia os resultados da atuação da UJ na realização de suas finalidades institucionais durante um exercício financeiro, conforme art. 14 da IN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20/2015.</w:t>
      </w:r>
    </w:p>
    <w:p w14:paraId="6001A097" w14:textId="2D0391F6" w:rsidR="00144323" w:rsidRDefault="00144323" w:rsidP="00144323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35C47A4" w14:textId="77777777" w:rsidR="006B0801" w:rsidRPr="006B7AC9" w:rsidRDefault="006B0801" w:rsidP="00144323">
      <w:pPr>
        <w:spacing w:after="0" w:line="240" w:lineRule="auto"/>
        <w:ind w:left="993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97A9946" w14:textId="5A184AD3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="00DB54FB"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 Procedimentos a serem observados pela UJ responsável pela formalização e apresentação dos processos de Prestação Anual de Contas de Gestão</w:t>
      </w:r>
    </w:p>
    <w:p w14:paraId="2F56D2CB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30E190B6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2.1 Prestação Anual de Contas de Gestão (PCG)</w:t>
      </w:r>
    </w:p>
    <w:p w14:paraId="58795D39" w14:textId="77777777" w:rsidR="0031769C" w:rsidRPr="006B7AC9" w:rsidRDefault="0031769C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2FA3C02" w14:textId="6EAB073B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2.1.1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 A PCG compreende o período de 1º de janeiro a 31 de dezembro de </w:t>
      </w:r>
      <w:r w:rsidR="00DB54FB" w:rsidRPr="006B7AC9">
        <w:rPr>
          <w:rFonts w:ascii="Arial" w:eastAsia="Times New Roman" w:hAnsi="Arial" w:cs="Arial"/>
          <w:color w:val="000000"/>
          <w:lang w:eastAsia="pt-BR"/>
        </w:rPr>
        <w:t xml:space="preserve">2017 </w:t>
      </w:r>
      <w:r w:rsidRPr="006B7AC9">
        <w:rPr>
          <w:rFonts w:ascii="Arial" w:eastAsia="Times New Roman" w:hAnsi="Arial" w:cs="Arial"/>
          <w:color w:val="000000"/>
          <w:lang w:eastAsia="pt-BR"/>
        </w:rPr>
        <w:t>e será organizada pelo titular do órgão ou entidade com as peças indicadas no art. 10 da IN TC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20/2015, submetida à UCI para elaboração do RCI, conforme disposto no art. 16</w:t>
      </w:r>
      <w:r w:rsidR="00150F55" w:rsidRPr="006B7AC9">
        <w:rPr>
          <w:rFonts w:ascii="Arial" w:eastAsia="Times New Roman" w:hAnsi="Arial" w:cs="Arial"/>
          <w:color w:val="000000"/>
          <w:lang w:eastAsia="pt-BR"/>
        </w:rPr>
        <w:t xml:space="preserve"> da IN TC-20/2015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14DCEC93" w14:textId="77777777" w:rsidR="0031769C" w:rsidRPr="006B7AC9" w:rsidRDefault="0031769C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A6C80B1" w14:textId="175FDE9A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2.1.2</w:t>
      </w:r>
      <w:r w:rsidRPr="006B7AC9">
        <w:rPr>
          <w:rFonts w:ascii="Arial" w:eastAsia="Times New Roman" w:hAnsi="Arial" w:cs="Arial"/>
          <w:color w:val="000000"/>
          <w:lang w:eastAsia="pt-BR"/>
        </w:rPr>
        <w:t> A UJ integrante do SCI poderá solicitar apoio aos Núcleos Técnicos, Diretoria de Contabilidade Geral (DCOG) e DIAG, no sentido de dirimir dúvidas sobre a elaboração das peças sob sua responsabilidade.</w:t>
      </w:r>
    </w:p>
    <w:p w14:paraId="2F91F678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6436E825" w14:textId="77777777" w:rsidR="00144323" w:rsidRPr="006B7AC9" w:rsidRDefault="00144323" w:rsidP="00144323">
      <w:pPr>
        <w:spacing w:after="0" w:line="240" w:lineRule="auto"/>
        <w:ind w:left="709" w:hanging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2974C077" w14:textId="0D054BEB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BA6B14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2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Relatório de Gestão</w:t>
      </w:r>
      <w:r w:rsidR="002F6F7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(RG)</w:t>
      </w:r>
    </w:p>
    <w:p w14:paraId="7F0853B8" w14:textId="77777777" w:rsidR="0031769C" w:rsidRPr="006B7AC9" w:rsidRDefault="0031769C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D80A669" w14:textId="4C12152B" w:rsidR="00474656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BA6B14" w:rsidRPr="006B7AC9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.1</w:t>
      </w:r>
      <w:r w:rsidR="002F6F7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O RG será elaborado pelo titular da UJ e conterá as informações relacionadas no Anexo V da IN TC</w:t>
      </w:r>
      <w:r w:rsidR="002E413E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</w:t>
      </w:r>
      <w:r w:rsidR="002E413E" w:rsidRPr="006B7AC9">
        <w:rPr>
          <w:rFonts w:ascii="Arial" w:eastAsia="Times New Roman" w:hAnsi="Arial" w:cs="Arial"/>
          <w:color w:val="000000"/>
          <w:lang w:eastAsia="pt-BR"/>
        </w:rPr>
        <w:t xml:space="preserve"> e alterações. </w:t>
      </w:r>
    </w:p>
    <w:p w14:paraId="4B7D11FD" w14:textId="77777777" w:rsidR="00474656" w:rsidRPr="006B7AC9" w:rsidRDefault="00474656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27FCE4" w14:textId="6CC2E677" w:rsidR="00144323" w:rsidRPr="006B7AC9" w:rsidRDefault="00474656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2.</w:t>
      </w:r>
      <w:r w:rsidR="00BA6B14" w:rsidRPr="006B7AC9">
        <w:rPr>
          <w:rFonts w:ascii="Arial" w:eastAsia="Times New Roman" w:hAnsi="Arial" w:cs="Arial"/>
          <w:color w:val="000000"/>
          <w:lang w:eastAsia="pt-BR"/>
        </w:rPr>
        <w:t>2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.2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O RG e 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 xml:space="preserve">os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pareceres de órgãos e conselhos serão</w:t>
      </w:r>
      <w:r w:rsidR="002F6F7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confeccionados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 xml:space="preserve"> documentalmente</w:t>
      </w:r>
      <w:r w:rsidR="00BA6B14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 xml:space="preserve">e digitalizados,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devendo ser assinados eletronicamente, por meio de certificação digital emitido no âmbito da Infraestrutura de Chaves Públicas Brasileira (ICP-Brasil), pelo titular do órgão ou entidade que apresentar a prestação de contas. Ainda que existam itens aplicáveis à natureza jurídica da UJ para os quais não haja informações a relatar, esta menção deverá constar do RG da 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>UJ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. A ausência de menção no 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 xml:space="preserve">RG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apresentado pela UJ às informações estabelecidas no Anexo V da IN TC</w:t>
      </w:r>
      <w:r w:rsidR="00757AF7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20/2015 ensejará o registro no RCI e ressalva no parecer.</w:t>
      </w:r>
    </w:p>
    <w:p w14:paraId="511D7278" w14:textId="77777777" w:rsidR="00474656" w:rsidRPr="006B7AC9" w:rsidRDefault="00474656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791CF43C" w14:textId="08322E3B" w:rsidR="00E16C4E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474656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2F6F7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B28CE" w:rsidRPr="006B7AC9">
        <w:rPr>
          <w:rFonts w:ascii="Arial" w:eastAsia="Times New Roman" w:hAnsi="Arial" w:cs="Arial"/>
          <w:color w:val="000000"/>
          <w:lang w:eastAsia="pt-BR"/>
        </w:rPr>
        <w:t xml:space="preserve">O responsável pela confecção do RG na </w:t>
      </w:r>
      <w:r w:rsidRPr="006B7AC9">
        <w:rPr>
          <w:rFonts w:ascii="Arial" w:eastAsia="Times New Roman" w:hAnsi="Arial" w:cs="Arial"/>
          <w:color w:val="000000"/>
          <w:lang w:eastAsia="pt-BR"/>
        </w:rPr>
        <w:t>UJ poderá solicitar o apoio da UCI</w:t>
      </w:r>
      <w:r w:rsidR="008B5738" w:rsidRPr="006B7AC9">
        <w:rPr>
          <w:rFonts w:ascii="Arial" w:eastAsia="Times New Roman" w:hAnsi="Arial" w:cs="Arial"/>
          <w:color w:val="000000"/>
          <w:lang w:eastAsia="pt-BR"/>
        </w:rPr>
        <w:t xml:space="preserve">, </w:t>
      </w:r>
      <w:r w:rsidRPr="006B7AC9">
        <w:rPr>
          <w:rFonts w:ascii="Arial" w:eastAsia="Times New Roman" w:hAnsi="Arial" w:cs="Arial"/>
          <w:color w:val="000000"/>
          <w:lang w:eastAsia="pt-BR"/>
        </w:rPr>
        <w:t>bem como da unidade de serviços contábeis do órgão ou entidade no sentido de dirimir dúvidas sobre a elaboração das peças sob sua responsabilidade.</w:t>
      </w:r>
      <w:r w:rsidR="007B28CE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35DD96F1" w14:textId="77777777" w:rsidR="00E16C4E" w:rsidRPr="006B7AC9" w:rsidRDefault="00E16C4E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1BD55E9" w14:textId="60B9568C" w:rsidR="00144323" w:rsidRPr="006B7AC9" w:rsidRDefault="00E16C4E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2.2.4</w:t>
      </w:r>
      <w:r w:rsidR="00815AE7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As informações constantes no RG serão geradas conforme orientações emitidas pela Diretoria de Planejamento Orçamentário (DIOR).</w:t>
      </w:r>
      <w:r w:rsidR="007B28CE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14:paraId="751F4057" w14:textId="2DA3FE28" w:rsidR="007B28CE" w:rsidRDefault="007B28CE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569E0841" w14:textId="77777777" w:rsidR="00AE3CC0" w:rsidRDefault="00AE3CC0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7AF90B1" w14:textId="77777777" w:rsidR="00AE3CC0" w:rsidRDefault="00AE3CC0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754E7911" w14:textId="77777777" w:rsidR="00AE3CC0" w:rsidRPr="006B7AC9" w:rsidRDefault="00AE3CC0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795B034" w14:textId="13D1E7DB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C1C329" w14:textId="1F15F4B4" w:rsidR="008B5738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3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Demonstrativos Contábeis</w:t>
      </w: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6D59557C" w14:textId="77777777" w:rsidR="008B5738" w:rsidRPr="006B7AC9" w:rsidRDefault="008B5738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4956561" w14:textId="677C3C6B" w:rsidR="00144323" w:rsidRPr="006B7AC9" w:rsidRDefault="00CB6571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2.3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.1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Os processos de prestação de contas conterão os balanços e demonstrativos contábeis exigidos pelas Leis nº 4.320, de 17 de março de 1964, e nº 6.404, de 15 de dezembro de 1976, conforme o caso.</w:t>
      </w:r>
    </w:p>
    <w:p w14:paraId="425EED57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4EC3F7CC" w14:textId="5D2B2A4C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9D6471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CB6571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r w:rsidR="009D647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As demonstrações contábeis dos órgãos e das entidades serão geradas conforme orientações emitidas pela DCOG. Esses demonstrativos devem ser atualizados em conformidade com as Normas </w:t>
      </w:r>
      <w:r w:rsidR="005F7A64" w:rsidRPr="006B7AC9">
        <w:rPr>
          <w:rFonts w:ascii="Arial" w:eastAsia="Times New Roman" w:hAnsi="Arial" w:cs="Arial"/>
          <w:color w:val="000000"/>
          <w:lang w:eastAsia="pt-BR"/>
        </w:rPr>
        <w:t xml:space="preserve">Brasileiras </w:t>
      </w:r>
      <w:r w:rsidRPr="006B7AC9">
        <w:rPr>
          <w:rFonts w:ascii="Arial" w:eastAsia="Times New Roman" w:hAnsi="Arial" w:cs="Arial"/>
          <w:color w:val="000000"/>
          <w:lang w:eastAsia="pt-BR"/>
        </w:rPr>
        <w:t>de Contabilidade Aplicadas ao Setor Público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 xml:space="preserve"> (NBC TSP)</w:t>
      </w:r>
      <w:r w:rsidRPr="006B7AC9">
        <w:rPr>
          <w:rFonts w:ascii="Arial" w:eastAsia="Times New Roman" w:hAnsi="Arial" w:cs="Arial"/>
          <w:color w:val="000000"/>
          <w:lang w:eastAsia="pt-BR"/>
        </w:rPr>
        <w:t>, emitidas pelo Conselho Federal de Contabilidade e pela Secretaria do Tesouro Nacional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 xml:space="preserve"> - STN</w:t>
      </w:r>
      <w:r w:rsidRPr="006B7AC9">
        <w:rPr>
          <w:rFonts w:ascii="Arial" w:eastAsia="Times New Roman" w:hAnsi="Arial" w:cs="Arial"/>
          <w:color w:val="000000"/>
          <w:lang w:eastAsia="pt-BR"/>
        </w:rPr>
        <w:t>, do Ministério da Fazenda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E6744A">
        <w:rPr>
          <w:rFonts w:ascii="Arial" w:eastAsia="Times New Roman" w:hAnsi="Arial" w:cs="Arial"/>
          <w:color w:val="000000"/>
          <w:lang w:eastAsia="pt-BR"/>
        </w:rPr>
        <w:t>–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 xml:space="preserve"> MF</w:t>
      </w:r>
      <w:r w:rsidR="00E6744A">
        <w:rPr>
          <w:rFonts w:ascii="Arial" w:eastAsia="Times New Roman" w:hAnsi="Arial" w:cs="Arial"/>
          <w:color w:val="000000"/>
          <w:lang w:eastAsia="pt-BR"/>
        </w:rPr>
        <w:t>.</w:t>
      </w:r>
    </w:p>
    <w:p w14:paraId="4F063B1A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D164729" w14:textId="230FA22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strike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9D6471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CB6571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9D647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Os demonstrativos contábeis serão assinados eletronicamente pelos titulares do órgão ou da entidade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e pelos contadores, por meio de certificado digital emitido no âmbito da </w:t>
      </w:r>
      <w:r w:rsidR="008B5738" w:rsidRPr="006B7AC9">
        <w:rPr>
          <w:rFonts w:ascii="Arial" w:eastAsia="Times New Roman" w:hAnsi="Arial" w:cs="Arial"/>
          <w:color w:val="000000"/>
          <w:lang w:eastAsia="pt-BR"/>
        </w:rPr>
        <w:t xml:space="preserve">ICP-Brasil. </w:t>
      </w:r>
    </w:p>
    <w:p w14:paraId="1AB4CD42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5331CE4" w14:textId="244CBB1F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CB6571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="009D647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Os responsáveis pela contabilidade 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 xml:space="preserve">no órgão ou entidade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emitirão relatório e parecer de conformidade contábil atestando a representação fidedigna das demonstrações contábeis no que tange à aplicação das </w:t>
      </w:r>
      <w:r w:rsidR="005F7A64" w:rsidRPr="006B7AC9">
        <w:rPr>
          <w:rFonts w:ascii="Arial" w:eastAsia="Times New Roman" w:hAnsi="Arial" w:cs="Arial"/>
          <w:color w:val="000000"/>
          <w:lang w:eastAsia="pt-BR"/>
        </w:rPr>
        <w:t>NBC TSP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e das normas emitidas pela STN</w:t>
      </w:r>
      <w:r w:rsidR="00471C91" w:rsidRPr="006B7AC9">
        <w:rPr>
          <w:rFonts w:ascii="Arial" w:eastAsia="Times New Roman" w:hAnsi="Arial" w:cs="Arial"/>
          <w:color w:val="000000"/>
          <w:lang w:eastAsia="pt-BR"/>
        </w:rPr>
        <w:t>/MF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34E82E58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A46C5CD" w14:textId="2FC8445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5F7A64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CB6571">
        <w:rPr>
          <w:rFonts w:ascii="Arial" w:eastAsia="Times New Roman" w:hAnsi="Arial" w:cs="Arial"/>
          <w:b/>
          <w:bCs/>
          <w:color w:val="000000"/>
          <w:lang w:eastAsia="pt-BR"/>
        </w:rPr>
        <w:t>.5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O parecer de conformidade contábil de que trata o subitem anterior deverá ser emitido de acordo com as seguintes situações:</w:t>
      </w:r>
    </w:p>
    <w:p w14:paraId="181F2F87" w14:textId="77777777" w:rsidR="002F4AA2" w:rsidRPr="00CB6571" w:rsidRDefault="002F4AA2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2A354032" w14:textId="0A35F05F" w:rsidR="00D470F3" w:rsidRPr="00CB6571" w:rsidRDefault="00144323" w:rsidP="00CB6571">
      <w:pPr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B6571">
        <w:rPr>
          <w:rFonts w:ascii="Arial" w:eastAsia="Times New Roman" w:hAnsi="Arial" w:cs="Arial"/>
          <w:b/>
          <w:bCs/>
          <w:lang w:eastAsia="pt-BR"/>
        </w:rPr>
        <w:t>2.</w:t>
      </w:r>
      <w:r w:rsidR="00D44109" w:rsidRPr="00CB6571">
        <w:rPr>
          <w:rFonts w:ascii="Arial" w:eastAsia="Times New Roman" w:hAnsi="Arial" w:cs="Arial"/>
          <w:b/>
          <w:bCs/>
          <w:lang w:eastAsia="pt-BR"/>
        </w:rPr>
        <w:t>3</w:t>
      </w:r>
      <w:r w:rsidRPr="00CB6571">
        <w:rPr>
          <w:rFonts w:ascii="Arial" w:eastAsia="Times New Roman" w:hAnsi="Arial" w:cs="Arial"/>
          <w:b/>
          <w:bCs/>
          <w:lang w:eastAsia="pt-BR"/>
        </w:rPr>
        <w:t>.</w:t>
      </w:r>
      <w:r w:rsidR="00CB6571">
        <w:rPr>
          <w:rFonts w:ascii="Arial" w:eastAsia="Times New Roman" w:hAnsi="Arial" w:cs="Arial"/>
          <w:b/>
          <w:bCs/>
          <w:lang w:eastAsia="pt-BR"/>
        </w:rPr>
        <w:t>5</w:t>
      </w:r>
      <w:r w:rsidRPr="00CB6571">
        <w:rPr>
          <w:rFonts w:ascii="Arial" w:eastAsia="Times New Roman" w:hAnsi="Arial" w:cs="Arial"/>
          <w:b/>
          <w:bCs/>
          <w:lang w:eastAsia="pt-BR"/>
        </w:rPr>
        <w:t xml:space="preserve">.1 </w:t>
      </w:r>
      <w:r w:rsidR="00CB6571" w:rsidRPr="00CB6571">
        <w:rPr>
          <w:rFonts w:ascii="Arial" w:eastAsia="Times New Roman" w:hAnsi="Arial" w:cs="Arial"/>
          <w:b/>
          <w:color w:val="000000"/>
          <w:lang w:eastAsia="pt-BR"/>
        </w:rPr>
        <w:t>SEM RESTRIÇÃO</w:t>
      </w:r>
      <w:r w:rsidR="00CB6571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D470F3" w:rsidRPr="00CB6571">
        <w:rPr>
          <w:rFonts w:ascii="Arial" w:eastAsia="Times New Roman" w:hAnsi="Arial" w:cs="Arial"/>
          <w:color w:val="000000"/>
          <w:lang w:eastAsia="pt-BR"/>
        </w:rPr>
        <w:t xml:space="preserve"> quando não houver restrições de qualquer natureza na conformidade contábil ou quando, havendo restrições, essas não forem suficientes para prejudicar a fidedignidade das demonstrações contábeis; ou</w:t>
      </w:r>
    </w:p>
    <w:p w14:paraId="5AB18EF9" w14:textId="60B6976B" w:rsidR="00D470F3" w:rsidRPr="00CB6571" w:rsidRDefault="00144323" w:rsidP="00CB6571">
      <w:pPr>
        <w:ind w:firstLine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CB6571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CB6571">
        <w:rPr>
          <w:rFonts w:ascii="Arial" w:eastAsia="Times New Roman" w:hAnsi="Arial" w:cs="Arial"/>
          <w:b/>
          <w:color w:val="000000"/>
          <w:lang w:eastAsia="pt-BR"/>
        </w:rPr>
        <w:t>3</w:t>
      </w:r>
      <w:r w:rsidRPr="00CB6571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CB6571" w:rsidRPr="00CB6571">
        <w:rPr>
          <w:rFonts w:ascii="Arial" w:eastAsia="Times New Roman" w:hAnsi="Arial" w:cs="Arial"/>
          <w:b/>
          <w:color w:val="000000"/>
          <w:lang w:eastAsia="pt-BR"/>
        </w:rPr>
        <w:t>5</w:t>
      </w:r>
      <w:r w:rsidRPr="00CB6571">
        <w:rPr>
          <w:rFonts w:ascii="Arial" w:eastAsia="Times New Roman" w:hAnsi="Arial" w:cs="Arial"/>
          <w:b/>
          <w:color w:val="000000"/>
          <w:lang w:eastAsia="pt-BR"/>
        </w:rPr>
        <w:t>.2</w:t>
      </w:r>
      <w:r w:rsidRPr="00CB6571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B6571" w:rsidRPr="00CB6571">
        <w:rPr>
          <w:rFonts w:ascii="Arial" w:eastAsia="Times New Roman" w:hAnsi="Arial" w:cs="Arial"/>
          <w:b/>
          <w:color w:val="000000"/>
          <w:lang w:eastAsia="pt-BR"/>
        </w:rPr>
        <w:t>COM RESTRIÇÃO</w:t>
      </w:r>
      <w:r w:rsidR="00D470F3" w:rsidRPr="00CB6571">
        <w:rPr>
          <w:rFonts w:ascii="Arial" w:eastAsia="Times New Roman" w:hAnsi="Arial" w:cs="Arial"/>
          <w:b/>
          <w:color w:val="000000"/>
          <w:lang w:eastAsia="pt-BR"/>
        </w:rPr>
        <w:t>:</w:t>
      </w:r>
      <w:r w:rsidR="00D470F3" w:rsidRPr="00CB6571">
        <w:rPr>
          <w:rFonts w:ascii="Arial" w:eastAsia="Times New Roman" w:hAnsi="Arial" w:cs="Arial"/>
          <w:color w:val="000000"/>
          <w:lang w:eastAsia="pt-BR"/>
        </w:rPr>
        <w:t xml:space="preserve"> quando as restrições apontadas na conformidade contábil prejudicarem a fidedignidade das demonstrações contábeis.</w:t>
      </w:r>
    </w:p>
    <w:p w14:paraId="0AD944BD" w14:textId="081607E3" w:rsidR="00144323" w:rsidRPr="00CB6571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6571">
        <w:rPr>
          <w:rFonts w:ascii="Arial" w:eastAsia="Times New Roman" w:hAnsi="Arial" w:cs="Arial"/>
          <w:b/>
          <w:bCs/>
          <w:lang w:eastAsia="pt-BR"/>
        </w:rPr>
        <w:t>2.</w:t>
      </w:r>
      <w:r w:rsidR="00D44109" w:rsidRPr="00CB6571">
        <w:rPr>
          <w:rFonts w:ascii="Arial" w:eastAsia="Times New Roman" w:hAnsi="Arial" w:cs="Arial"/>
          <w:b/>
          <w:bCs/>
          <w:lang w:eastAsia="pt-BR"/>
        </w:rPr>
        <w:t>3</w:t>
      </w:r>
      <w:r w:rsidRPr="00CB6571">
        <w:rPr>
          <w:rFonts w:ascii="Arial" w:eastAsia="Times New Roman" w:hAnsi="Arial" w:cs="Arial"/>
          <w:b/>
          <w:bCs/>
          <w:lang w:eastAsia="pt-BR"/>
        </w:rPr>
        <w:t>.</w:t>
      </w:r>
      <w:r w:rsidR="00CB6571">
        <w:rPr>
          <w:rFonts w:ascii="Arial" w:eastAsia="Times New Roman" w:hAnsi="Arial" w:cs="Arial"/>
          <w:b/>
          <w:bCs/>
          <w:lang w:eastAsia="pt-BR"/>
        </w:rPr>
        <w:t>6</w:t>
      </w:r>
      <w:r w:rsidR="00502459" w:rsidRPr="00CB6571">
        <w:rPr>
          <w:rFonts w:ascii="Arial" w:eastAsia="Times New Roman" w:hAnsi="Arial" w:cs="Arial"/>
          <w:b/>
          <w:bCs/>
          <w:lang w:eastAsia="pt-BR"/>
        </w:rPr>
        <w:t xml:space="preserve"> </w:t>
      </w:r>
      <w:r w:rsidRPr="00CB6571">
        <w:rPr>
          <w:rFonts w:ascii="Arial" w:eastAsia="Times New Roman" w:hAnsi="Arial" w:cs="Arial"/>
          <w:lang w:eastAsia="pt-BR"/>
        </w:rPr>
        <w:t>O modelo do relatório e parecer de conformidade contábil será disponibilizado no sítio da S</w:t>
      </w:r>
      <w:r w:rsidR="00256E25" w:rsidRPr="00CB6571">
        <w:rPr>
          <w:rFonts w:ascii="Arial" w:eastAsia="Times New Roman" w:hAnsi="Arial" w:cs="Arial"/>
          <w:lang w:eastAsia="pt-BR"/>
        </w:rPr>
        <w:t>EF</w:t>
      </w:r>
      <w:r w:rsidR="006B0801">
        <w:rPr>
          <w:rFonts w:ascii="Arial" w:eastAsia="Times New Roman" w:hAnsi="Arial" w:cs="Arial"/>
          <w:lang w:eastAsia="pt-BR"/>
        </w:rPr>
        <w:t>, conforme A</w:t>
      </w:r>
      <w:r w:rsidR="00D470F3" w:rsidRPr="00CB6571">
        <w:rPr>
          <w:rFonts w:ascii="Arial" w:eastAsia="Times New Roman" w:hAnsi="Arial" w:cs="Arial"/>
          <w:lang w:eastAsia="pt-BR"/>
        </w:rPr>
        <w:t>nexo VI do Decreto nº 1.381, de 29 de novembro de 2017.</w:t>
      </w:r>
    </w:p>
    <w:p w14:paraId="4C2ECEBE" w14:textId="68969F5A" w:rsidR="00144323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06350086" w14:textId="77777777" w:rsidR="006B0801" w:rsidRPr="006B7AC9" w:rsidRDefault="006B0801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BE1ED3" w14:textId="57382A1E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D44109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4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Relatório do Controle Interno (RCI)</w:t>
      </w:r>
    </w:p>
    <w:p w14:paraId="2AB1494A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6B4FDA" w14:textId="252C13BB" w:rsidR="00D44109" w:rsidRPr="006B7AC9" w:rsidRDefault="007B28CE" w:rsidP="00D44109">
      <w:pPr>
        <w:spacing w:after="0" w:line="240" w:lineRule="auto"/>
        <w:jc w:val="both"/>
        <w:rPr>
          <w:rFonts w:ascii="Arial" w:eastAsia="Times New Roman" w:hAnsi="Arial" w:cs="Arial"/>
          <w:strike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D44109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.1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 RCI será emitido 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 xml:space="preserve">e assinado eletronicamente pelo responsável da UCI do órgão ou da entidade, </w:t>
      </w:r>
      <w:r w:rsidR="00CB6571">
        <w:rPr>
          <w:rFonts w:ascii="Arial" w:eastAsia="Times New Roman" w:hAnsi="Arial" w:cs="Arial"/>
          <w:color w:val="000000"/>
          <w:lang w:eastAsia="pt-BR"/>
        </w:rPr>
        <w:t>por meio de certificado digital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 xml:space="preserve"> emitido no âmbito da ICP-Brasil. </w:t>
      </w:r>
    </w:p>
    <w:p w14:paraId="5C05B4BF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19D4EA" w14:textId="43E77723" w:rsidR="00144323" w:rsidRPr="006B7AC9" w:rsidRDefault="00144323" w:rsidP="00E16C4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D44109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891E51" w:rsidRPr="006B7AC9">
        <w:rPr>
          <w:rFonts w:ascii="Arial" w:eastAsia="Times New Roman" w:hAnsi="Arial" w:cs="Arial"/>
          <w:b/>
          <w:bCs/>
          <w:color w:val="000000"/>
          <w:lang w:eastAsia="pt-BR"/>
        </w:rPr>
        <w:t>2</w:t>
      </w:r>
      <w:proofErr w:type="gramStart"/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6B7AC9">
        <w:rPr>
          <w:rFonts w:ascii="Arial" w:eastAsia="Times New Roman" w:hAnsi="Arial" w:cs="Arial"/>
          <w:color w:val="000000"/>
          <w:lang w:eastAsia="pt-BR"/>
        </w:rPr>
        <w:t xml:space="preserve">Serão considerados para a </w:t>
      </w:r>
      <w:r w:rsidR="002F4AA2" w:rsidRPr="006B7AC9">
        <w:rPr>
          <w:rFonts w:ascii="Arial" w:eastAsia="Times New Roman" w:hAnsi="Arial" w:cs="Arial"/>
          <w:color w:val="000000"/>
          <w:lang w:eastAsia="pt-BR"/>
        </w:rPr>
        <w:t xml:space="preserve">elaboração </w:t>
      </w:r>
      <w:r w:rsidRPr="006B7AC9">
        <w:rPr>
          <w:rFonts w:ascii="Arial" w:eastAsia="Times New Roman" w:hAnsi="Arial" w:cs="Arial"/>
          <w:color w:val="000000"/>
          <w:lang w:eastAsia="pt-BR"/>
        </w:rPr>
        <w:t>do RCI acerca da PCG:</w:t>
      </w:r>
    </w:p>
    <w:p w14:paraId="6A09D73E" w14:textId="2C97B997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.1</w:t>
      </w:r>
      <w:proofErr w:type="gramStart"/>
      <w:r w:rsidR="00502459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>a situação detectada na conformidade contábil mensal dos atos e fatos ocorridos no órgão ou entidade e a situação de atendimento;</w:t>
      </w:r>
    </w:p>
    <w:p w14:paraId="1693553F" w14:textId="21D241FC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.2</w:t>
      </w:r>
      <w:proofErr w:type="gramStart"/>
      <w:r w:rsidR="00502459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>o P</w:t>
      </w:r>
      <w:r w:rsidR="00502459" w:rsidRPr="00AA35B5">
        <w:rPr>
          <w:rFonts w:ascii="Arial" w:eastAsia="Times New Roman" w:hAnsi="Arial" w:cs="Arial"/>
          <w:color w:val="000000"/>
          <w:lang w:eastAsia="pt-BR"/>
        </w:rPr>
        <w:t xml:space="preserve">lanejamento Anual de Atividades </w:t>
      </w:r>
      <w:r w:rsidRPr="00AA35B5">
        <w:rPr>
          <w:rFonts w:ascii="Arial" w:eastAsia="Times New Roman" w:hAnsi="Arial" w:cs="Arial"/>
          <w:color w:val="000000"/>
          <w:lang w:eastAsia="pt-BR"/>
        </w:rPr>
        <w:t>do Controle Interno;</w:t>
      </w:r>
    </w:p>
    <w:p w14:paraId="2D39FEB2" w14:textId="1A3A2EA0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.3</w:t>
      </w:r>
      <w:proofErr w:type="gramStart"/>
      <w:r w:rsidR="00502459" w:rsidRPr="00AA35B5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>a emissão de informações e pareceres;</w:t>
      </w:r>
    </w:p>
    <w:p w14:paraId="24ECBDF8" w14:textId="451B6DF1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.4</w:t>
      </w:r>
      <w:proofErr w:type="gramStart"/>
      <w:r w:rsidR="00502459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>as solicitações de ações corretivas emitidas por meio de comunicações internas e a situação de atendimento;</w:t>
      </w:r>
    </w:p>
    <w:p w14:paraId="29409BA0" w14:textId="26FDA5BB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lastRenderedPageBreak/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.5</w:t>
      </w:r>
      <w:proofErr w:type="gramStart"/>
      <w:r w:rsidR="00502459" w:rsidRPr="00AA35B5">
        <w:rPr>
          <w:rFonts w:ascii="Arial" w:eastAsia="Times New Roman" w:hAnsi="Arial" w:cs="Arial"/>
          <w:b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>as demandas do SCI encaminhadas pela DIAG ou</w:t>
      </w:r>
      <w:r w:rsidR="00CB6571">
        <w:rPr>
          <w:rFonts w:ascii="Arial" w:eastAsia="Times New Roman" w:hAnsi="Arial" w:cs="Arial"/>
          <w:color w:val="000000"/>
          <w:lang w:eastAsia="pt-BR"/>
        </w:rPr>
        <w:t xml:space="preserve"> pela</w:t>
      </w:r>
      <w:r w:rsidRPr="00AA35B5">
        <w:rPr>
          <w:rFonts w:ascii="Arial" w:eastAsia="Times New Roman" w:hAnsi="Arial" w:cs="Arial"/>
          <w:color w:val="000000"/>
          <w:lang w:eastAsia="pt-BR"/>
        </w:rPr>
        <w:t xml:space="preserve"> DCOG;</w:t>
      </w:r>
    </w:p>
    <w:p w14:paraId="2E9F1C5F" w14:textId="0343628E" w:rsidR="00144323" w:rsidRPr="00AA35B5" w:rsidRDefault="00144323" w:rsidP="00AA35B5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AA35B5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D44109" w:rsidRPr="00AA35B5"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</w:t>
      </w:r>
      <w:r w:rsidR="00891E51" w:rsidRPr="00AA35B5">
        <w:rPr>
          <w:rFonts w:ascii="Arial" w:eastAsia="Times New Roman" w:hAnsi="Arial" w:cs="Arial"/>
          <w:b/>
          <w:color w:val="000000"/>
          <w:lang w:eastAsia="pt-BR"/>
        </w:rPr>
        <w:t>2</w:t>
      </w:r>
      <w:r w:rsidRPr="00AA35B5">
        <w:rPr>
          <w:rFonts w:ascii="Arial" w:eastAsia="Times New Roman" w:hAnsi="Arial" w:cs="Arial"/>
          <w:b/>
          <w:color w:val="000000"/>
          <w:lang w:eastAsia="pt-BR"/>
        </w:rPr>
        <w:t>.6</w:t>
      </w:r>
      <w:proofErr w:type="gramStart"/>
      <w:r w:rsidR="00502459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AA35B5"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proofErr w:type="gramEnd"/>
      <w:r w:rsidRPr="00AA35B5">
        <w:rPr>
          <w:rFonts w:ascii="Arial" w:eastAsia="Times New Roman" w:hAnsi="Arial" w:cs="Arial"/>
          <w:color w:val="000000"/>
          <w:lang w:eastAsia="pt-BR"/>
        </w:rPr>
        <w:t xml:space="preserve">a emissão de </w:t>
      </w:r>
      <w:proofErr w:type="spellStart"/>
      <w:r w:rsidRPr="00AA35B5">
        <w:rPr>
          <w:rFonts w:ascii="Arial" w:eastAsia="Times New Roman" w:hAnsi="Arial" w:cs="Arial"/>
          <w:color w:val="000000"/>
          <w:lang w:eastAsia="pt-BR"/>
        </w:rPr>
        <w:t>RCI</w:t>
      </w:r>
      <w:r w:rsidR="00256E25" w:rsidRPr="00AA35B5">
        <w:rPr>
          <w:rFonts w:ascii="Arial" w:eastAsia="Times New Roman" w:hAnsi="Arial" w:cs="Arial"/>
          <w:color w:val="000000"/>
          <w:lang w:eastAsia="pt-BR"/>
        </w:rPr>
        <w:t>s</w:t>
      </w:r>
      <w:proofErr w:type="spellEnd"/>
      <w:r w:rsidRPr="00AA35B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CB6571">
        <w:rPr>
          <w:rFonts w:ascii="Arial" w:eastAsia="Times New Roman" w:hAnsi="Arial" w:cs="Arial"/>
          <w:color w:val="000000"/>
          <w:lang w:eastAsia="pt-BR"/>
        </w:rPr>
        <w:t>b</w:t>
      </w:r>
      <w:r w:rsidRPr="00AA35B5">
        <w:rPr>
          <w:rFonts w:ascii="Arial" w:eastAsia="Times New Roman" w:hAnsi="Arial" w:cs="Arial"/>
          <w:color w:val="000000"/>
          <w:lang w:eastAsia="pt-BR"/>
        </w:rPr>
        <w:t>imestrais.</w:t>
      </w:r>
    </w:p>
    <w:p w14:paraId="29103AC9" w14:textId="77777777" w:rsidR="002F4AA2" w:rsidRPr="006B7AC9" w:rsidRDefault="002F4AA2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10FCDF7F" w14:textId="10FA031B" w:rsidR="00D44109" w:rsidRPr="006B7AC9" w:rsidRDefault="00D44109" w:rsidP="00D441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2.4.3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O responsável pela UCI, na conclusão do RCI, opinará pela:</w:t>
      </w:r>
    </w:p>
    <w:p w14:paraId="06A032B7" w14:textId="77777777" w:rsidR="00D44109" w:rsidRPr="006B7AC9" w:rsidRDefault="00D44109" w:rsidP="00D4410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5F0DA0" w14:textId="4DC085D8" w:rsidR="00D44109" w:rsidRPr="006B7AC9" w:rsidRDefault="00D44109" w:rsidP="00E16C4E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F97EBA" w:rsidRPr="006B7AC9">
        <w:rPr>
          <w:rFonts w:ascii="Arial" w:eastAsia="Times New Roman" w:hAnsi="Arial" w:cs="Arial"/>
          <w:b/>
          <w:color w:val="000000"/>
          <w:lang w:eastAsia="pt-BR"/>
        </w:rPr>
        <w:t>4.3.</w:t>
      </w:r>
      <w:r w:rsidRPr="006B7AC9">
        <w:rPr>
          <w:rFonts w:ascii="Arial" w:eastAsia="Times New Roman" w:hAnsi="Arial" w:cs="Arial"/>
          <w:b/>
          <w:color w:val="000000"/>
          <w:lang w:eastAsia="pt-BR"/>
        </w:rPr>
        <w:t>1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color w:val="000000"/>
          <w:lang w:eastAsia="pt-BR"/>
        </w:rPr>
        <w:t>CONFORMIDADE SEM RESTRIÇÃO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: quando as informações </w:t>
      </w:r>
      <w:r w:rsidR="00F97EBA" w:rsidRPr="006B7AC9">
        <w:rPr>
          <w:rFonts w:ascii="Arial" w:eastAsia="Times New Roman" w:hAnsi="Arial" w:cs="Arial"/>
          <w:color w:val="000000"/>
          <w:lang w:eastAsia="pt-BR"/>
        </w:rPr>
        <w:t>da PCG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expressarem, de forma clara e objetiva, a exatidão dos demonstrativos contábeis, a legalidade, a legitimidade e a economicidade do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s atos de gestão do responsável;</w:t>
      </w:r>
    </w:p>
    <w:p w14:paraId="739A932E" w14:textId="1C71FCD2" w:rsidR="00D44109" w:rsidRPr="006B7AC9" w:rsidRDefault="00F97EBA" w:rsidP="00E16C4E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2.4.3.2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44109" w:rsidRPr="006B7AC9">
        <w:rPr>
          <w:rFonts w:ascii="Arial" w:eastAsia="Times New Roman" w:hAnsi="Arial" w:cs="Arial"/>
          <w:b/>
          <w:color w:val="000000"/>
          <w:lang w:eastAsia="pt-BR"/>
        </w:rPr>
        <w:t>CONFORMIDADE COM RESTRIÇÃO FORMAL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 xml:space="preserve">: quando a PCG evidenciar impropriedade ou falha de ordem </w:t>
      </w:r>
      <w:r w:rsidRPr="006B7AC9">
        <w:rPr>
          <w:rFonts w:ascii="Arial" w:eastAsia="Times New Roman" w:hAnsi="Arial" w:cs="Arial"/>
          <w:color w:val="000000"/>
          <w:lang w:eastAsia="pt-BR"/>
        </w:rPr>
        <w:t>formal, que não enseja prejuízo</w:t>
      </w:r>
      <w:r w:rsidR="00CB6571">
        <w:rPr>
          <w:rFonts w:ascii="Arial" w:eastAsia="Times New Roman" w:hAnsi="Arial" w:cs="Arial"/>
          <w:color w:val="000000"/>
          <w:lang w:eastAsia="pt-BR"/>
        </w:rPr>
        <w:t xml:space="preserve"> ao erário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, bem como 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 xml:space="preserve">quando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 parecer da Conformidade Contábil 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 xml:space="preserve">concluir pela situação </w:t>
      </w:r>
      <w:r w:rsidRPr="006B7AC9">
        <w:rPr>
          <w:rFonts w:ascii="Arial" w:eastAsia="Times New Roman" w:hAnsi="Arial" w:cs="Arial"/>
          <w:color w:val="000000"/>
          <w:lang w:eastAsia="pt-BR"/>
        </w:rPr>
        <w:t>“COM RESTRIÇ</w:t>
      </w:r>
      <w:r w:rsidR="00CB6571">
        <w:rPr>
          <w:rFonts w:ascii="Arial" w:eastAsia="Times New Roman" w:hAnsi="Arial" w:cs="Arial"/>
          <w:color w:val="000000"/>
          <w:lang w:eastAsia="pt-BR"/>
        </w:rPr>
        <w:t>ÃO</w:t>
      </w:r>
      <w:r w:rsidRPr="006B7AC9">
        <w:rPr>
          <w:rFonts w:ascii="Arial" w:eastAsia="Times New Roman" w:hAnsi="Arial" w:cs="Arial"/>
          <w:color w:val="000000"/>
          <w:lang w:eastAsia="pt-BR"/>
        </w:rPr>
        <w:t>”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;</w:t>
      </w:r>
    </w:p>
    <w:p w14:paraId="0C0D46AC" w14:textId="0D0AFEDF" w:rsidR="00D44109" w:rsidRPr="006B7AC9" w:rsidRDefault="00F97EBA" w:rsidP="00E16C4E">
      <w:pPr>
        <w:ind w:left="567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2.4.3.3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D44109" w:rsidRPr="006B7AC9">
        <w:rPr>
          <w:rFonts w:ascii="Arial" w:eastAsia="Times New Roman" w:hAnsi="Arial" w:cs="Arial"/>
          <w:b/>
          <w:color w:val="000000"/>
          <w:lang w:eastAsia="pt-BR"/>
        </w:rPr>
        <w:t>INCONFORMIDADE POR DANO AO ERÁRIO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 xml:space="preserve">: quando esgotadas as medidas e/ou providências corretivas no âmbito da UJ e comprovado o </w:t>
      </w:r>
      <w:r w:rsidR="00195355">
        <w:rPr>
          <w:rFonts w:ascii="Arial" w:eastAsia="Times New Roman" w:hAnsi="Arial" w:cs="Arial"/>
          <w:color w:val="000000"/>
          <w:lang w:eastAsia="pt-BR"/>
        </w:rPr>
        <w:t>dano ao e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>rário, decorrente de ato de gestão ilegal, ilegítimo ou antieconômico</w:t>
      </w:r>
      <w:r w:rsidR="00CB6571">
        <w:rPr>
          <w:rFonts w:ascii="Arial" w:eastAsia="Times New Roman" w:hAnsi="Arial" w:cs="Arial"/>
          <w:color w:val="000000"/>
          <w:lang w:eastAsia="pt-BR"/>
        </w:rPr>
        <w:t>,</w:t>
      </w:r>
      <w:r w:rsidR="00D44109" w:rsidRPr="006B7AC9">
        <w:rPr>
          <w:rFonts w:ascii="Arial" w:eastAsia="Times New Roman" w:hAnsi="Arial" w:cs="Arial"/>
          <w:color w:val="000000"/>
          <w:lang w:eastAsia="pt-BR"/>
        </w:rPr>
        <w:t xml:space="preserve"> desfalque, desvio de dinheiro, bens ou va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lores públicos;</w:t>
      </w:r>
    </w:p>
    <w:p w14:paraId="6C90FB12" w14:textId="77777777" w:rsidR="00D44109" w:rsidRPr="006B7AC9" w:rsidRDefault="00D44109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C814080" w14:textId="7B7988CD" w:rsidR="00E00585" w:rsidRPr="006B7AC9" w:rsidRDefault="00E00585" w:rsidP="00E0058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2.4.4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Na hipótese da UJ não apresentar ou apresentar parcialmente informações ou documentos considerados essenciais pelos responsáveis da UCI para confecção do Relatório, </w:t>
      </w:r>
      <w:r w:rsidR="00502459" w:rsidRPr="00195355">
        <w:rPr>
          <w:rFonts w:ascii="Arial" w:eastAsia="Times New Roman" w:hAnsi="Arial" w:cs="Arial"/>
          <w:color w:val="000000"/>
          <w:lang w:eastAsia="pt-BR"/>
        </w:rPr>
        <w:t>a conclusão será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pela “Conformidade com Restrição Formal”. </w:t>
      </w:r>
    </w:p>
    <w:p w14:paraId="4BFC637B" w14:textId="77777777" w:rsidR="00E00585" w:rsidRPr="006B7AC9" w:rsidRDefault="00E00585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26732E0" w14:textId="792F8524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D44109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E00585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 modelo de RCI a ser adotado nas </w:t>
      </w:r>
      <w:proofErr w:type="spellStart"/>
      <w:r w:rsidRPr="006B7AC9">
        <w:rPr>
          <w:rFonts w:ascii="Arial" w:eastAsia="Times New Roman" w:hAnsi="Arial" w:cs="Arial"/>
          <w:color w:val="000000"/>
          <w:lang w:eastAsia="pt-BR"/>
        </w:rPr>
        <w:t>UCIs</w:t>
      </w:r>
      <w:proofErr w:type="spellEnd"/>
      <w:r w:rsidRPr="006B7AC9">
        <w:rPr>
          <w:rFonts w:ascii="Arial" w:eastAsia="Times New Roman" w:hAnsi="Arial" w:cs="Arial"/>
          <w:color w:val="000000"/>
          <w:lang w:eastAsia="pt-BR"/>
        </w:rPr>
        <w:t xml:space="preserve"> será disponibilizado no sítio oficial da SEF</w:t>
      </w:r>
      <w:r w:rsidR="000B02C5">
        <w:rPr>
          <w:rFonts w:ascii="Arial" w:eastAsia="Times New Roman" w:hAnsi="Arial" w:cs="Arial"/>
          <w:color w:val="000000"/>
          <w:lang w:eastAsia="pt-BR"/>
        </w:rPr>
        <w:t>, na página da DIAG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7C17B7E7" w14:textId="77777777" w:rsidR="002F4AA2" w:rsidRPr="006B7AC9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F714ED" w14:textId="58170DCD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D44109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E00585" w:rsidRPr="006B7AC9">
        <w:rPr>
          <w:rFonts w:ascii="Arial" w:eastAsia="Times New Roman" w:hAnsi="Arial" w:cs="Arial"/>
          <w:b/>
          <w:bCs/>
          <w:color w:val="000000"/>
          <w:lang w:eastAsia="pt-BR"/>
        </w:rPr>
        <w:t>6</w:t>
      </w:r>
      <w:r w:rsidR="00256E25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A SEF disponibilizará também em seu sítio oficial, instruções quanto ao conteúdo mínimo e preenchimento do RCI.</w:t>
      </w:r>
    </w:p>
    <w:p w14:paraId="05EA9341" w14:textId="77777777" w:rsidR="002F4AA2" w:rsidRDefault="002F4AA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A61D305" w14:textId="77777777" w:rsidR="006B0801" w:rsidRDefault="006B0801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91F9A5C" w14:textId="6968006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5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Parecer do Controle Interno (PCI)</w:t>
      </w:r>
    </w:p>
    <w:p w14:paraId="1C716AEE" w14:textId="77777777" w:rsidR="003D68C2" w:rsidRPr="006B7AC9" w:rsidRDefault="003D68C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61FE615" w14:textId="7F69361E" w:rsidR="003D68C2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.1</w:t>
      </w:r>
      <w:r w:rsidR="005024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O Órgão Central de Controle Interno, por intermédio da DIAG, emitirá parecer fundamentado nas informações constantes no RCI emitido pela UCI conforme § 1º do art. 16 da IN TC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20/2015. </w:t>
      </w:r>
    </w:p>
    <w:p w14:paraId="50CA8141" w14:textId="77777777" w:rsidR="003D68C2" w:rsidRPr="006B7AC9" w:rsidRDefault="003D68C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3CD7B5A" w14:textId="5AEF366D" w:rsidR="00144323" w:rsidRPr="006B7AC9" w:rsidRDefault="003D68C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color w:val="000000"/>
          <w:lang w:eastAsia="pt-BR"/>
        </w:rPr>
        <w:t>.2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O 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titular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 da UJ, o contador e os responsáveis pelos atos mencionados nos </w:t>
      </w:r>
      <w:proofErr w:type="spellStart"/>
      <w:r w:rsidR="00144323" w:rsidRPr="006B7AC9">
        <w:rPr>
          <w:rFonts w:ascii="Arial" w:eastAsia="Times New Roman" w:hAnsi="Arial" w:cs="Arial"/>
          <w:color w:val="000000"/>
          <w:lang w:eastAsia="pt-BR"/>
        </w:rPr>
        <w:t>art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>s</w:t>
      </w:r>
      <w:proofErr w:type="spellEnd"/>
      <w:r w:rsidR="009C554D" w:rsidRPr="006B7AC9">
        <w:rPr>
          <w:rFonts w:ascii="Arial" w:eastAsia="Times New Roman" w:hAnsi="Arial" w:cs="Arial"/>
          <w:color w:val="000000"/>
          <w:lang w:eastAsia="pt-BR"/>
        </w:rPr>
        <w:t xml:space="preserve">.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14, 15 e 16 da IN TC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 xml:space="preserve">20/2015 respondem perante o 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>TCE</w:t>
      </w:r>
      <w:r w:rsidR="004615FF" w:rsidRPr="006B7AC9">
        <w:rPr>
          <w:rFonts w:ascii="Arial" w:eastAsia="Times New Roman" w:hAnsi="Arial" w:cs="Arial"/>
          <w:color w:val="000000"/>
          <w:lang w:eastAsia="pt-BR"/>
        </w:rPr>
        <w:t>/SC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 xml:space="preserve">pela </w:t>
      </w:r>
      <w:r w:rsidR="00144323" w:rsidRPr="006B7AC9">
        <w:rPr>
          <w:rFonts w:ascii="Arial" w:eastAsia="Times New Roman" w:hAnsi="Arial" w:cs="Arial"/>
          <w:color w:val="000000"/>
          <w:lang w:eastAsia="pt-BR"/>
        </w:rPr>
        <w:t>fidedignidade das informações, documentos e demonstrativos contidos na prestação de contas, no limite de suas responsabilidades e atribuições legais.</w:t>
      </w:r>
    </w:p>
    <w:p w14:paraId="7D01CBE9" w14:textId="77777777" w:rsidR="003D68C2" w:rsidRPr="006B7AC9" w:rsidRDefault="003D68C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8F8ADE5" w14:textId="4DB0D975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="00D872D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A DIAG poderá requisitar, a qualquer tempo, documentos e informações para integrar e subsidiar o PCI.</w:t>
      </w:r>
    </w:p>
    <w:p w14:paraId="0733F499" w14:textId="77777777" w:rsidR="003D68C2" w:rsidRPr="006B7AC9" w:rsidRDefault="003D68C2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F3B5337" w14:textId="76BF2DC8" w:rsidR="00144323" w:rsidRPr="006B7AC9" w:rsidRDefault="00144323" w:rsidP="00E16C4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="00D872D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>O P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 xml:space="preserve">CI </w:t>
      </w:r>
      <w:r w:rsidRPr="006B7AC9">
        <w:rPr>
          <w:rFonts w:ascii="Arial" w:eastAsia="Times New Roman" w:hAnsi="Arial" w:cs="Arial"/>
          <w:color w:val="000000"/>
          <w:lang w:eastAsia="pt-BR"/>
        </w:rPr>
        <w:t>emitido pela DIAG conter</w:t>
      </w:r>
      <w:r w:rsidR="00F37E4B" w:rsidRPr="006B7AC9">
        <w:rPr>
          <w:rFonts w:ascii="Arial" w:eastAsia="Times New Roman" w:hAnsi="Arial" w:cs="Arial"/>
          <w:color w:val="000000"/>
          <w:lang w:eastAsia="pt-BR"/>
        </w:rPr>
        <w:t>á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opinião pela:</w:t>
      </w:r>
    </w:p>
    <w:p w14:paraId="28870610" w14:textId="23E627C3" w:rsidR="00144323" w:rsidRDefault="00144323" w:rsidP="00722BAE">
      <w:pPr>
        <w:spacing w:after="0" w:line="240" w:lineRule="auto"/>
        <w:ind w:left="1276" w:hanging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.1</w:t>
      </w:r>
      <w:r w:rsidR="00D872D8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color w:val="000000"/>
          <w:lang w:eastAsia="pt-BR"/>
        </w:rPr>
        <w:t>REGULARIDADE</w:t>
      </w:r>
      <w:r w:rsidR="00350A46" w:rsidRPr="006B7AC9">
        <w:rPr>
          <w:rFonts w:ascii="Arial" w:eastAsia="Times New Roman" w:hAnsi="Arial" w:cs="Arial"/>
          <w:color w:val="000000"/>
          <w:lang w:eastAsia="pt-BR"/>
        </w:rPr>
        <w:t xml:space="preserve">: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quando as informações contidas </w:t>
      </w:r>
      <w:r w:rsidR="00CB6571">
        <w:rPr>
          <w:rFonts w:ascii="Arial" w:eastAsia="Times New Roman" w:hAnsi="Arial" w:cs="Arial"/>
          <w:color w:val="000000"/>
          <w:lang w:eastAsia="pt-BR"/>
        </w:rPr>
        <w:t>no RCI expressarem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de forma clara e objetiva o cumprimento de todos os quesitos exigidos no Anexo VII da IN TC</w:t>
      </w:r>
      <w:r w:rsidR="009C554D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</w:t>
      </w:r>
      <w:r w:rsidR="00B240F3">
        <w:rPr>
          <w:rFonts w:ascii="Arial" w:eastAsia="Times New Roman" w:hAnsi="Arial" w:cs="Arial"/>
          <w:color w:val="000000"/>
          <w:lang w:eastAsia="pt-BR"/>
        </w:rPr>
        <w:t xml:space="preserve"> e alterações, </w:t>
      </w:r>
      <w:r w:rsidR="00722BAE">
        <w:rPr>
          <w:rFonts w:ascii="Arial" w:eastAsia="Times New Roman" w:hAnsi="Arial" w:cs="Arial"/>
          <w:color w:val="000000"/>
          <w:lang w:eastAsia="pt-BR"/>
        </w:rPr>
        <w:t xml:space="preserve">e </w:t>
      </w:r>
      <w:r w:rsidR="00B240F3">
        <w:rPr>
          <w:rFonts w:ascii="Arial" w:eastAsia="Times New Roman" w:hAnsi="Arial" w:cs="Arial"/>
          <w:color w:val="000000"/>
          <w:lang w:eastAsia="pt-BR"/>
        </w:rPr>
        <w:t xml:space="preserve">não </w:t>
      </w:r>
      <w:r w:rsidR="00722BAE">
        <w:rPr>
          <w:rFonts w:ascii="Arial" w:eastAsia="Times New Roman" w:hAnsi="Arial" w:cs="Arial"/>
          <w:color w:val="000000"/>
          <w:lang w:eastAsia="pt-BR"/>
        </w:rPr>
        <w:t>forem</w:t>
      </w:r>
      <w:r w:rsidR="00B240F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22BAE">
        <w:rPr>
          <w:rFonts w:ascii="Arial" w:eastAsia="Times New Roman" w:hAnsi="Arial" w:cs="Arial"/>
          <w:color w:val="000000"/>
          <w:lang w:eastAsia="pt-BR"/>
        </w:rPr>
        <w:t>identificados</w:t>
      </w:r>
      <w:r w:rsidR="00B240F3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722BAE">
        <w:rPr>
          <w:rFonts w:ascii="Arial" w:eastAsia="Times New Roman" w:hAnsi="Arial" w:cs="Arial"/>
          <w:color w:val="000000"/>
          <w:lang w:eastAsia="pt-BR"/>
        </w:rPr>
        <w:t>i</w:t>
      </w:r>
      <w:r w:rsidR="00722BAE" w:rsidRPr="006B7AC9">
        <w:rPr>
          <w:rFonts w:ascii="Arial" w:eastAsia="Times New Roman" w:hAnsi="Arial" w:cs="Arial"/>
          <w:color w:val="000000"/>
          <w:lang w:eastAsia="pt-BR"/>
        </w:rPr>
        <w:t>legalidade,</w:t>
      </w:r>
      <w:r w:rsidR="00722BAE">
        <w:rPr>
          <w:rFonts w:ascii="Arial" w:eastAsia="Times New Roman" w:hAnsi="Arial" w:cs="Arial"/>
          <w:color w:val="000000"/>
          <w:lang w:eastAsia="pt-BR"/>
        </w:rPr>
        <w:t xml:space="preserve"> i</w:t>
      </w:r>
      <w:r w:rsidR="00722BAE" w:rsidRPr="006B7AC9">
        <w:rPr>
          <w:rFonts w:ascii="Arial" w:eastAsia="Times New Roman" w:hAnsi="Arial" w:cs="Arial"/>
          <w:color w:val="000000"/>
          <w:lang w:eastAsia="pt-BR"/>
        </w:rPr>
        <w:t xml:space="preserve">legitimidade e </w:t>
      </w:r>
      <w:proofErr w:type="spellStart"/>
      <w:r w:rsidR="00722BAE">
        <w:rPr>
          <w:rFonts w:ascii="Arial" w:eastAsia="Times New Roman" w:hAnsi="Arial" w:cs="Arial"/>
          <w:color w:val="000000"/>
          <w:lang w:eastAsia="pt-BR"/>
        </w:rPr>
        <w:t>anti</w:t>
      </w:r>
      <w:r w:rsidR="00722BAE" w:rsidRPr="006B7AC9">
        <w:rPr>
          <w:rFonts w:ascii="Arial" w:eastAsia="Times New Roman" w:hAnsi="Arial" w:cs="Arial"/>
          <w:color w:val="000000"/>
          <w:lang w:eastAsia="pt-BR"/>
        </w:rPr>
        <w:t>economicidade</w:t>
      </w:r>
      <w:proofErr w:type="spellEnd"/>
      <w:r w:rsidR="00722BAE" w:rsidRPr="006B7AC9">
        <w:rPr>
          <w:rFonts w:ascii="Arial" w:eastAsia="Times New Roman" w:hAnsi="Arial" w:cs="Arial"/>
          <w:color w:val="000000"/>
          <w:lang w:eastAsia="pt-BR"/>
        </w:rPr>
        <w:t xml:space="preserve"> dos atos de gestão do responsável</w:t>
      </w:r>
      <w:r w:rsidR="00722BAE">
        <w:rPr>
          <w:rFonts w:ascii="Arial" w:eastAsia="Times New Roman" w:hAnsi="Arial" w:cs="Arial"/>
          <w:color w:val="000000"/>
          <w:lang w:eastAsia="pt-BR"/>
        </w:rPr>
        <w:t>.</w:t>
      </w:r>
    </w:p>
    <w:p w14:paraId="384AE5FA" w14:textId="77777777" w:rsidR="00722BAE" w:rsidRPr="006B7AC9" w:rsidRDefault="00722BAE" w:rsidP="00722BAE">
      <w:pPr>
        <w:spacing w:after="0" w:line="240" w:lineRule="auto"/>
        <w:ind w:left="1276" w:hanging="709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2CE62394" w14:textId="7F877F60" w:rsidR="00144323" w:rsidRPr="006B7AC9" w:rsidRDefault="00144323" w:rsidP="00E16C4E">
      <w:pPr>
        <w:spacing w:after="0" w:line="240" w:lineRule="auto"/>
        <w:ind w:left="1276" w:hanging="709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.2</w:t>
      </w:r>
      <w:r w:rsidR="00D872D8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REGULARIDADE COM RESSALVAS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: 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>quando as informações contidas no RCI evidenciarem impropriedades ou qualquer outra falha de natureza formal.</w:t>
      </w:r>
    </w:p>
    <w:p w14:paraId="13EF9D6A" w14:textId="77777777" w:rsidR="003D68C2" w:rsidRPr="006B7AC9" w:rsidRDefault="003D68C2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73B0B20" w14:textId="70561986" w:rsidR="009C554D" w:rsidRPr="006B7AC9" w:rsidRDefault="00144323" w:rsidP="002F25A6">
      <w:pPr>
        <w:tabs>
          <w:tab w:val="left" w:pos="1134"/>
        </w:tabs>
        <w:spacing w:after="120" w:line="240" w:lineRule="auto"/>
        <w:ind w:left="1276" w:hanging="709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.3</w:t>
      </w:r>
      <w:r w:rsidR="00D872D8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IRREGULARIDADE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>:</w:t>
      </w:r>
      <w:r w:rsidR="005D5FA9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quando as informações contidas no RCI evidenciarem uma das seguintes ocorrências: </w:t>
      </w:r>
    </w:p>
    <w:p w14:paraId="5CA7CB0D" w14:textId="77777777" w:rsidR="009C554D" w:rsidRPr="006B7AC9" w:rsidRDefault="00144323" w:rsidP="00E16C4E">
      <w:pPr>
        <w:spacing w:after="0" w:line="240" w:lineRule="auto"/>
        <w:ind w:left="1276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a) omissão no dever de prestar contas; </w:t>
      </w:r>
    </w:p>
    <w:p w14:paraId="38CC54F3" w14:textId="77777777" w:rsidR="009C554D" w:rsidRPr="006B7AC9" w:rsidRDefault="00144323" w:rsidP="00E16C4E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b) prática de ato de gestão ilegítimo ou antieconômico, ou grave infração à norma legal ou regulamentar de natureza contábil, financeira, orçamentária, operacional ou patrimonial; </w:t>
      </w:r>
    </w:p>
    <w:p w14:paraId="68984E8E" w14:textId="77777777" w:rsidR="009C554D" w:rsidRPr="006B7AC9" w:rsidRDefault="00144323" w:rsidP="00E16C4E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c) dano ao erário decorrente de ato de gestão ilegítimo ou antieconômico injustificado; e </w:t>
      </w:r>
    </w:p>
    <w:p w14:paraId="6A76AB45" w14:textId="360A8104" w:rsidR="00144323" w:rsidRPr="006B7AC9" w:rsidRDefault="00144323" w:rsidP="00E16C4E">
      <w:pPr>
        <w:spacing w:after="0" w:line="240" w:lineRule="auto"/>
        <w:ind w:left="1560" w:hanging="284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>d) desfalque, desvio de dinheiro, bens ou valores públicos.</w:t>
      </w:r>
    </w:p>
    <w:p w14:paraId="65956602" w14:textId="77777777" w:rsidR="003D68C2" w:rsidRPr="006B7AC9" w:rsidRDefault="003D68C2" w:rsidP="00144323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0F804F1" w14:textId="48AFC6A4" w:rsidR="009C554D" w:rsidRPr="006B7AC9" w:rsidRDefault="00144323" w:rsidP="00E16C4E">
      <w:pPr>
        <w:spacing w:after="120" w:line="240" w:lineRule="auto"/>
        <w:ind w:left="1276" w:hanging="709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="00F37E4B" w:rsidRPr="006B7AC9">
        <w:rPr>
          <w:rFonts w:ascii="Arial" w:eastAsia="Times New Roman" w:hAnsi="Arial" w:cs="Arial"/>
          <w:b/>
          <w:bCs/>
          <w:color w:val="000000"/>
          <w:lang w:eastAsia="pt-BR"/>
        </w:rPr>
        <w:t>5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3D68C2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.4</w:t>
      </w:r>
      <w:r w:rsidR="00D872D8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ABSTENÇÃO DE OPINIÃO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: 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>quando ocorrer</w:t>
      </w:r>
      <w:r w:rsidR="009C554D" w:rsidRPr="006B7AC9">
        <w:rPr>
          <w:rFonts w:ascii="Arial" w:eastAsia="Times New Roman" w:hAnsi="Arial" w:cs="Arial"/>
          <w:bCs/>
          <w:color w:val="000000"/>
          <w:lang w:eastAsia="pt-BR"/>
        </w:rPr>
        <w:t>:</w:t>
      </w:r>
    </w:p>
    <w:p w14:paraId="54F705B7" w14:textId="27823A2E" w:rsidR="009C554D" w:rsidRPr="006B7AC9" w:rsidRDefault="005D5FA9" w:rsidP="00E16C4E">
      <w:pPr>
        <w:spacing w:after="0" w:line="240" w:lineRule="auto"/>
        <w:ind w:left="568" w:firstLine="708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a) </w:t>
      </w:r>
      <w:r w:rsidR="00144323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ausência de 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>emissão do RCI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; </w:t>
      </w:r>
    </w:p>
    <w:p w14:paraId="42E4F4E9" w14:textId="77777777" w:rsidR="009C554D" w:rsidRPr="006B7AC9" w:rsidRDefault="005D5FA9" w:rsidP="00E16C4E">
      <w:pPr>
        <w:spacing w:after="0" w:line="240" w:lineRule="auto"/>
        <w:ind w:left="1276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>b)</w:t>
      </w:r>
      <w:r w:rsidR="000B2208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 emissão parcial ou precária</w:t>
      </w:r>
      <w:r w:rsidR="00545AF8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; </w:t>
      </w:r>
    </w:p>
    <w:p w14:paraId="2F7742CE" w14:textId="1A645E0B" w:rsidR="00144323" w:rsidRPr="006B7AC9" w:rsidRDefault="00545AF8" w:rsidP="00E16C4E">
      <w:pPr>
        <w:spacing w:after="0" w:line="240" w:lineRule="auto"/>
        <w:ind w:left="1276"/>
        <w:jc w:val="both"/>
        <w:rPr>
          <w:rFonts w:ascii="Arial" w:eastAsia="Times New Roman" w:hAnsi="Arial" w:cs="Arial"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Cs/>
          <w:color w:val="000000"/>
          <w:lang w:eastAsia="pt-BR"/>
        </w:rPr>
        <w:t>c)</w:t>
      </w:r>
      <w:r w:rsidR="00D872D8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>d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escumprimento </w:t>
      </w:r>
      <w:r w:rsidR="00144323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dos prazos estabelecidos 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>no Cronograma d</w:t>
      </w:r>
      <w:r w:rsidR="00834317" w:rsidRPr="006B7AC9">
        <w:rPr>
          <w:rFonts w:ascii="Arial" w:eastAsia="Times New Roman" w:hAnsi="Arial" w:cs="Arial"/>
          <w:bCs/>
          <w:color w:val="000000"/>
          <w:lang w:eastAsia="pt-BR"/>
        </w:rPr>
        <w:t>e A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tividades contido no Anexo II desta IN, </w:t>
      </w:r>
      <w:r w:rsidR="00834317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de modo a impossibilitar </w:t>
      </w:r>
      <w:r w:rsidR="00144323" w:rsidRPr="006B7AC9">
        <w:rPr>
          <w:rFonts w:ascii="Arial" w:eastAsia="Times New Roman" w:hAnsi="Arial" w:cs="Arial"/>
          <w:bCs/>
          <w:color w:val="000000"/>
          <w:lang w:eastAsia="pt-BR"/>
        </w:rPr>
        <w:t>a análise</w:t>
      </w:r>
      <w:r w:rsidR="00350A46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 do Relatório</w:t>
      </w:r>
      <w:r w:rsidR="00144323"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 e</w:t>
      </w:r>
      <w:r w:rsidRPr="006B7AC9"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  <w:r w:rsidR="00144323" w:rsidRPr="006B7AC9">
        <w:rPr>
          <w:rFonts w:ascii="Arial" w:eastAsia="Times New Roman" w:hAnsi="Arial" w:cs="Arial"/>
          <w:bCs/>
          <w:color w:val="000000"/>
          <w:lang w:eastAsia="pt-BR"/>
        </w:rPr>
        <w:t>emissão do Parecer.</w:t>
      </w:r>
    </w:p>
    <w:p w14:paraId="5D82C2C5" w14:textId="4E712FF5" w:rsidR="007B28CE" w:rsidRPr="006B7AC9" w:rsidRDefault="007B28CE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55E94573" w14:textId="77777777" w:rsidR="006B0801" w:rsidRDefault="006B0801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615B100C" w14:textId="0E30D1E1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 xml:space="preserve">3. </w:t>
      </w:r>
      <w:r w:rsidR="009C554D" w:rsidRPr="006B7AC9">
        <w:rPr>
          <w:rFonts w:ascii="Arial" w:eastAsia="Times New Roman" w:hAnsi="Arial" w:cs="Arial"/>
          <w:b/>
          <w:bCs/>
          <w:color w:val="000000"/>
          <w:lang w:eastAsia="pt-BR"/>
        </w:rPr>
        <w:t>P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razos e condições para entrega dos processos de PCG</w:t>
      </w:r>
    </w:p>
    <w:p w14:paraId="7D83901F" w14:textId="77777777" w:rsidR="00350A46" w:rsidRPr="006B7AC9" w:rsidRDefault="00350A46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B3CE774" w14:textId="2B116AB5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3.1.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Para a composição das peças da PCG, o titular da UJ, o contador e o responsável pela UCI deverão observar os prazos estabelecidos no Cronograma de </w:t>
      </w:r>
      <w:r w:rsidR="003E2126" w:rsidRPr="006B7AC9">
        <w:rPr>
          <w:rFonts w:ascii="Arial" w:eastAsia="Times New Roman" w:hAnsi="Arial" w:cs="Arial"/>
          <w:color w:val="000000"/>
          <w:lang w:eastAsia="pt-BR"/>
        </w:rPr>
        <w:t>A</w:t>
      </w:r>
      <w:r w:rsidRPr="006B7AC9">
        <w:rPr>
          <w:rFonts w:ascii="Arial" w:eastAsia="Times New Roman" w:hAnsi="Arial" w:cs="Arial"/>
          <w:color w:val="000000"/>
          <w:lang w:eastAsia="pt-BR"/>
        </w:rPr>
        <w:t>tividades contido no</w:t>
      </w:r>
      <w:r w:rsidR="007F6E72">
        <w:rPr>
          <w:rFonts w:ascii="Arial" w:eastAsia="Times New Roman" w:hAnsi="Arial" w:cs="Arial"/>
          <w:color w:val="000000"/>
          <w:lang w:eastAsia="pt-BR"/>
        </w:rPr>
        <w:t>s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350A46" w:rsidRPr="006B7AC9">
        <w:rPr>
          <w:rFonts w:ascii="Arial" w:eastAsia="Times New Roman" w:hAnsi="Arial" w:cs="Arial"/>
          <w:color w:val="000000"/>
          <w:lang w:eastAsia="pt-BR"/>
        </w:rPr>
        <w:t>Anexo</w:t>
      </w:r>
      <w:r w:rsidR="007F6E72">
        <w:rPr>
          <w:rFonts w:ascii="Arial" w:eastAsia="Times New Roman" w:hAnsi="Arial" w:cs="Arial"/>
          <w:color w:val="000000"/>
          <w:lang w:eastAsia="pt-BR"/>
        </w:rPr>
        <w:t>s</w:t>
      </w:r>
      <w:r w:rsidR="00350A46" w:rsidRPr="006B7AC9">
        <w:rPr>
          <w:rFonts w:ascii="Arial" w:eastAsia="Times New Roman" w:hAnsi="Arial" w:cs="Arial"/>
          <w:color w:val="000000"/>
          <w:lang w:eastAsia="pt-BR"/>
        </w:rPr>
        <w:t xml:space="preserve"> II</w:t>
      </w:r>
      <w:r w:rsidR="007F6E72">
        <w:rPr>
          <w:rFonts w:ascii="Arial" w:eastAsia="Times New Roman" w:hAnsi="Arial" w:cs="Arial"/>
          <w:color w:val="000000"/>
          <w:lang w:eastAsia="pt-BR"/>
        </w:rPr>
        <w:t xml:space="preserve"> e III</w:t>
      </w:r>
      <w:r w:rsidR="00350A46" w:rsidRPr="006B7AC9">
        <w:rPr>
          <w:rFonts w:ascii="Arial" w:eastAsia="Times New Roman" w:hAnsi="Arial" w:cs="Arial"/>
          <w:color w:val="000000"/>
          <w:lang w:eastAsia="pt-BR"/>
        </w:rPr>
        <w:t xml:space="preserve"> desta IN</w:t>
      </w:r>
      <w:r w:rsidRPr="006B7AC9">
        <w:rPr>
          <w:rFonts w:ascii="Arial" w:eastAsia="Times New Roman" w:hAnsi="Arial" w:cs="Arial"/>
          <w:color w:val="000000"/>
          <w:lang w:eastAsia="pt-BR"/>
        </w:rPr>
        <w:t>.</w:t>
      </w:r>
    </w:p>
    <w:p w14:paraId="2A882016" w14:textId="77777777" w:rsidR="00350A46" w:rsidRPr="006B7AC9" w:rsidRDefault="00350A46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4343C8C1" w14:textId="122E93CA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3.2.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Os responsáveis pelos serviços contábeis das </w:t>
      </w:r>
      <w:proofErr w:type="spellStart"/>
      <w:r w:rsidR="003E2126" w:rsidRPr="006B7AC9">
        <w:rPr>
          <w:rFonts w:ascii="Arial" w:eastAsia="Times New Roman" w:hAnsi="Arial" w:cs="Arial"/>
          <w:color w:val="000000"/>
          <w:lang w:eastAsia="pt-BR"/>
        </w:rPr>
        <w:t>UJs</w:t>
      </w:r>
      <w:proofErr w:type="spellEnd"/>
      <w:r w:rsidR="003E2126" w:rsidRPr="006B7AC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obedecerão </w:t>
      </w:r>
      <w:r w:rsidR="000B2208" w:rsidRPr="006B7AC9">
        <w:rPr>
          <w:rFonts w:ascii="Arial" w:eastAsia="Times New Roman" w:hAnsi="Arial" w:cs="Arial"/>
          <w:color w:val="000000"/>
          <w:lang w:eastAsia="pt-BR"/>
        </w:rPr>
        <w:t>a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os prazos estabelecidos no </w:t>
      </w:r>
      <w:r w:rsidR="003E2126" w:rsidRPr="006B7AC9">
        <w:rPr>
          <w:rFonts w:ascii="Arial" w:eastAsia="Times New Roman" w:hAnsi="Arial" w:cs="Arial"/>
          <w:color w:val="000000"/>
          <w:lang w:eastAsia="pt-BR"/>
        </w:rPr>
        <w:t>d</w:t>
      </w:r>
      <w:r w:rsidRPr="006B7AC9">
        <w:rPr>
          <w:rFonts w:ascii="Arial" w:eastAsia="Times New Roman" w:hAnsi="Arial" w:cs="Arial"/>
          <w:color w:val="000000"/>
          <w:lang w:eastAsia="pt-BR"/>
        </w:rPr>
        <w:t>ecreto</w:t>
      </w:r>
      <w:r w:rsidR="00834317" w:rsidRPr="006B7AC9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3E2126" w:rsidRPr="006B7AC9">
        <w:rPr>
          <w:rFonts w:ascii="Arial" w:eastAsia="Times New Roman" w:hAnsi="Arial" w:cs="Arial"/>
          <w:color w:val="000000"/>
          <w:lang w:eastAsia="pt-BR"/>
        </w:rPr>
        <w:t>e</w:t>
      </w:r>
      <w:r w:rsidR="00834317" w:rsidRPr="006B7AC9">
        <w:rPr>
          <w:rFonts w:ascii="Arial" w:eastAsia="Times New Roman" w:hAnsi="Arial" w:cs="Arial"/>
          <w:color w:val="000000"/>
          <w:lang w:eastAsia="pt-BR"/>
        </w:rPr>
        <w:t xml:space="preserve">ncerramento de </w:t>
      </w:r>
      <w:r w:rsidR="003E2126" w:rsidRPr="006B7AC9">
        <w:rPr>
          <w:rFonts w:ascii="Arial" w:eastAsia="Times New Roman" w:hAnsi="Arial" w:cs="Arial"/>
          <w:color w:val="000000"/>
          <w:lang w:eastAsia="pt-BR"/>
        </w:rPr>
        <w:t>e</w:t>
      </w:r>
      <w:r w:rsidR="00834317" w:rsidRPr="006B7AC9">
        <w:rPr>
          <w:rFonts w:ascii="Arial" w:eastAsia="Times New Roman" w:hAnsi="Arial" w:cs="Arial"/>
          <w:color w:val="000000"/>
          <w:lang w:eastAsia="pt-BR"/>
        </w:rPr>
        <w:t>xercício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 que dispõe sobre os procedimentos para o fechamento orçamentário, financeiro e contábil, mensal e anual.</w:t>
      </w:r>
    </w:p>
    <w:p w14:paraId="1A796902" w14:textId="77777777" w:rsidR="00834317" w:rsidRPr="006B7AC9" w:rsidRDefault="00834317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1133343" w14:textId="1806567F" w:rsidR="008A6FEA" w:rsidRPr="006B7AC9" w:rsidRDefault="00144323" w:rsidP="008A6FE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3.</w:t>
      </w:r>
      <w:r w:rsidR="008A6FEA" w:rsidRPr="006B7AC9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="008A6FEA" w:rsidRPr="006B7AC9">
        <w:rPr>
          <w:rFonts w:ascii="Arial" w:eastAsia="Times New Roman" w:hAnsi="Arial" w:cs="Arial"/>
          <w:color w:val="000000"/>
          <w:lang w:eastAsia="pt-BR"/>
        </w:rPr>
        <w:t>O responsável pela UCI deverá encaminhar o R</w:t>
      </w:r>
      <w:r w:rsidR="003E2126" w:rsidRPr="006B7AC9">
        <w:rPr>
          <w:rFonts w:ascii="Arial" w:eastAsia="Times New Roman" w:hAnsi="Arial" w:cs="Arial"/>
          <w:color w:val="000000"/>
          <w:lang w:eastAsia="pt-BR"/>
        </w:rPr>
        <w:t xml:space="preserve">CI </w:t>
      </w:r>
      <w:r w:rsidR="008A6FEA" w:rsidRPr="006B7AC9">
        <w:rPr>
          <w:rFonts w:ascii="Arial" w:eastAsia="Times New Roman" w:hAnsi="Arial" w:cs="Arial"/>
          <w:color w:val="000000"/>
          <w:lang w:eastAsia="pt-BR"/>
        </w:rPr>
        <w:t>ao titular da UJ para</w:t>
      </w:r>
      <w:r w:rsidR="00545AF8" w:rsidRPr="006B7AC9">
        <w:rPr>
          <w:rFonts w:ascii="Arial" w:eastAsia="Times New Roman" w:hAnsi="Arial" w:cs="Arial"/>
          <w:color w:val="000000"/>
          <w:lang w:eastAsia="pt-BR"/>
        </w:rPr>
        <w:t xml:space="preserve"> conhecimento</w:t>
      </w:r>
      <w:r w:rsidR="00E00585" w:rsidRPr="006B7AC9">
        <w:rPr>
          <w:rFonts w:ascii="Arial" w:eastAsia="Times New Roman" w:hAnsi="Arial" w:cs="Arial"/>
          <w:color w:val="000000"/>
          <w:lang w:eastAsia="pt-BR"/>
        </w:rPr>
        <w:t xml:space="preserve"> e assinatura antes do envio por meio informatizado ao TCE/SC.</w:t>
      </w:r>
    </w:p>
    <w:p w14:paraId="78A24650" w14:textId="77777777" w:rsidR="008A6FEA" w:rsidRPr="006B7AC9" w:rsidRDefault="008A6FEA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20259D4" w14:textId="0ABB1A6F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3.</w:t>
      </w:r>
      <w:r w:rsidR="00E00585" w:rsidRPr="006B7AC9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6B7AC9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Pr="006B7AC9">
        <w:rPr>
          <w:rFonts w:ascii="Arial" w:eastAsia="Times New Roman" w:hAnsi="Arial" w:cs="Arial"/>
          <w:color w:val="000000"/>
          <w:lang w:eastAsia="pt-BR"/>
        </w:rPr>
        <w:t xml:space="preserve">A remessa ao TCE/SC, pelos titulares das </w:t>
      </w:r>
      <w:proofErr w:type="spellStart"/>
      <w:r w:rsidRPr="006B7AC9">
        <w:rPr>
          <w:rFonts w:ascii="Arial" w:eastAsia="Times New Roman" w:hAnsi="Arial" w:cs="Arial"/>
          <w:color w:val="000000"/>
          <w:lang w:eastAsia="pt-BR"/>
        </w:rPr>
        <w:t>UJs</w:t>
      </w:r>
      <w:proofErr w:type="spellEnd"/>
      <w:r w:rsidRPr="006B7AC9">
        <w:rPr>
          <w:rFonts w:ascii="Arial" w:eastAsia="Times New Roman" w:hAnsi="Arial" w:cs="Arial"/>
          <w:color w:val="000000"/>
          <w:lang w:eastAsia="pt-BR"/>
        </w:rPr>
        <w:t>, da PCG será feita por meio informatizado, via sistema corporativo do TCE/SC, atendendo aos prazos contidos no art. 9º, § 5º e no art. 10, § 6º da IN TC</w:t>
      </w:r>
      <w:r w:rsidR="004615FF" w:rsidRPr="006B7AC9">
        <w:rPr>
          <w:rFonts w:ascii="Arial" w:eastAsia="Times New Roman" w:hAnsi="Arial" w:cs="Arial"/>
          <w:color w:val="000000"/>
          <w:lang w:eastAsia="pt-BR"/>
        </w:rPr>
        <w:t>-</w:t>
      </w:r>
      <w:r w:rsidRPr="006B7AC9">
        <w:rPr>
          <w:rFonts w:ascii="Arial" w:eastAsia="Times New Roman" w:hAnsi="Arial" w:cs="Arial"/>
          <w:color w:val="000000"/>
          <w:lang w:eastAsia="pt-BR"/>
        </w:rPr>
        <w:t>20/2015.</w:t>
      </w:r>
    </w:p>
    <w:p w14:paraId="4F3CD821" w14:textId="77777777" w:rsidR="00144323" w:rsidRPr="006B7AC9" w:rsidRDefault="00144323" w:rsidP="0014432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B7AC9">
        <w:rPr>
          <w:rFonts w:ascii="Arial" w:eastAsia="Times New Roman" w:hAnsi="Arial" w:cs="Arial"/>
          <w:color w:val="000000"/>
          <w:lang w:eastAsia="pt-BR"/>
        </w:rPr>
        <w:t> </w:t>
      </w:r>
    </w:p>
    <w:p w14:paraId="54FEEB61" w14:textId="77777777" w:rsidR="00B21F5D" w:rsidRDefault="00B21F5D" w:rsidP="00F2212C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B9579B4" w14:textId="77777777" w:rsidR="00250007" w:rsidRDefault="00250007" w:rsidP="00F2212C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11A366C" w14:textId="77777777" w:rsidR="006B0801" w:rsidRDefault="006B0801" w:rsidP="00F2212C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06AED78" w14:textId="77777777" w:rsidR="00250007" w:rsidRDefault="00250007" w:rsidP="00F2212C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E162BED" w14:textId="46F1D5BD" w:rsidR="00144323" w:rsidRDefault="00F2212C" w:rsidP="006B0801">
      <w:pPr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7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 II – Cronograma de Atividades</w:t>
      </w:r>
      <w:r w:rsidR="009A0CEA" w:rsidRPr="00587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(Secretarias, Fundos, Autarquias e Fundações Públicas)</w:t>
      </w: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658"/>
        <w:gridCol w:w="2835"/>
      </w:tblGrid>
      <w:tr w:rsidR="00B21F5D" w:rsidRPr="006B7AC9" w14:paraId="3F59A1FC" w14:textId="77777777" w:rsidTr="007E0E91">
        <w:trPr>
          <w:trHeight w:hRule="exact" w:val="75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E9FDD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7CED5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Emissão dos Demonstrativos Contábeis</w:t>
            </w:r>
            <w:r>
              <w:rPr>
                <w:rFonts w:ascii="Arial" w:hAnsi="Arial" w:cs="Arial"/>
                <w:sz w:val="22"/>
                <w:szCs w:val="22"/>
              </w:rPr>
              <w:t xml:space="preserve"> (DC)</w:t>
            </w:r>
            <w:r w:rsidRPr="006B7A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68A6E" w14:textId="5EF0ACBF" w:rsidR="00B21F5D" w:rsidRPr="005E1B7D" w:rsidRDefault="00B21F5D" w:rsidP="007F33A0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 w:rsidR="007F33A0" w:rsidRPr="005E1B7D">
              <w:rPr>
                <w:rFonts w:ascii="Arial" w:hAnsi="Arial" w:cs="Arial"/>
                <w:sz w:val="22"/>
                <w:szCs w:val="22"/>
              </w:rPr>
              <w:t>20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de janeiro ou após a liberação pela GECOC/SEF</w:t>
            </w:r>
          </w:p>
        </w:tc>
      </w:tr>
      <w:tr w:rsidR="00B21F5D" w:rsidRPr="006B7AC9" w14:paraId="06A023F2" w14:textId="77777777" w:rsidTr="007E0E91">
        <w:trPr>
          <w:trHeight w:hRule="exact" w:val="709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81C7B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599605" w14:textId="0C248C70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Emissão do Relatório de Gestão – art. 10, inciso III, c/c art. 14 da IN TC-20/2015.</w:t>
            </w:r>
          </w:p>
          <w:p w14:paraId="6FDCF0B1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0A9CF5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3410C9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74C82F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092C2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AF4AA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0915F1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9BA5E1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376ECB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25B95" w14:textId="4AA7A21B" w:rsidR="00B21F5D" w:rsidRPr="005E1B7D" w:rsidRDefault="00B21F5D" w:rsidP="007F33A0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 w:rsidR="007F33A0" w:rsidRPr="005E1B7D">
              <w:rPr>
                <w:rFonts w:ascii="Arial" w:hAnsi="Arial" w:cs="Arial"/>
                <w:sz w:val="22"/>
                <w:szCs w:val="22"/>
              </w:rPr>
              <w:t>09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de fevereiro</w:t>
            </w:r>
          </w:p>
        </w:tc>
      </w:tr>
      <w:tr w:rsidR="00B21F5D" w:rsidRPr="006B7AC9" w14:paraId="36D4DFEC" w14:textId="77777777" w:rsidTr="007E0E91">
        <w:trPr>
          <w:trHeight w:hRule="exact" w:val="82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FB2F6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15C1C" w14:textId="1EE11E3B" w:rsidR="00B21F5D" w:rsidRPr="006B7AC9" w:rsidRDefault="00AA35B5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0CEA">
              <w:rPr>
                <w:rFonts w:ascii="Arial" w:hAnsi="Arial" w:cs="Arial"/>
                <w:sz w:val="22"/>
                <w:szCs w:val="22"/>
              </w:rPr>
              <w:t>Disponibilização</w:t>
            </w:r>
            <w:r w:rsidR="00B21F5D" w:rsidRPr="006B7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F5D">
              <w:rPr>
                <w:rFonts w:ascii="Arial" w:hAnsi="Arial" w:cs="Arial"/>
                <w:sz w:val="22"/>
                <w:szCs w:val="22"/>
              </w:rPr>
              <w:t>do RG</w:t>
            </w:r>
            <w:r w:rsidR="00B21F5D" w:rsidRPr="006B7AC9">
              <w:rPr>
                <w:rFonts w:ascii="Arial" w:hAnsi="Arial" w:cs="Arial"/>
                <w:sz w:val="22"/>
                <w:szCs w:val="22"/>
              </w:rPr>
              <w:t xml:space="preserve"> à UCI para e</w:t>
            </w:r>
            <w:r w:rsidR="00B21F5D">
              <w:rPr>
                <w:rFonts w:ascii="Arial" w:hAnsi="Arial" w:cs="Arial"/>
                <w:sz w:val="22"/>
                <w:szCs w:val="22"/>
              </w:rPr>
              <w:t>laboração</w:t>
            </w:r>
            <w:r w:rsidR="00B21F5D" w:rsidRPr="006B7AC9">
              <w:rPr>
                <w:rFonts w:ascii="Arial" w:hAnsi="Arial" w:cs="Arial"/>
                <w:sz w:val="22"/>
                <w:szCs w:val="22"/>
              </w:rPr>
              <w:t xml:space="preserve"> do RCI – art. 11, c/c o art. 16 da IN TC-20/2015.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788B8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de fevereiro</w:t>
            </w:r>
          </w:p>
        </w:tc>
      </w:tr>
      <w:tr w:rsidR="00B21F5D" w:rsidRPr="006B7AC9" w14:paraId="3D468BEB" w14:textId="77777777" w:rsidTr="0042408E">
        <w:trPr>
          <w:trHeight w:hRule="exact" w:val="89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F3BD9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7C8E0" w14:textId="4ED5EDE6" w:rsidR="00B21F5D" w:rsidRPr="006B7AC9" w:rsidRDefault="00B21F5D" w:rsidP="00AA35B5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5B5">
              <w:rPr>
                <w:rFonts w:ascii="Arial" w:hAnsi="Arial" w:cs="Arial"/>
                <w:b/>
                <w:sz w:val="22"/>
                <w:szCs w:val="22"/>
              </w:rPr>
              <w:t>Envio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2F36">
              <w:rPr>
                <w:rFonts w:ascii="Arial" w:hAnsi="Arial" w:cs="Arial"/>
                <w:b/>
                <w:sz w:val="22"/>
                <w:szCs w:val="22"/>
              </w:rPr>
              <w:t>eletrônico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do RCI </w:t>
            </w:r>
            <w:r w:rsidR="00AA35B5">
              <w:rPr>
                <w:rFonts w:ascii="Arial" w:hAnsi="Arial" w:cs="Arial"/>
                <w:sz w:val="22"/>
                <w:szCs w:val="22"/>
              </w:rPr>
              <w:t>a</w:t>
            </w:r>
            <w:r w:rsidRPr="006B7AC9">
              <w:rPr>
                <w:rFonts w:ascii="Arial" w:hAnsi="Arial" w:cs="Arial"/>
                <w:sz w:val="22"/>
                <w:szCs w:val="22"/>
              </w:rPr>
              <w:t>o ambiente TCE virtual para emissão do P</w:t>
            </w:r>
            <w:r>
              <w:rPr>
                <w:rFonts w:ascii="Arial" w:hAnsi="Arial" w:cs="Arial"/>
                <w:sz w:val="22"/>
                <w:szCs w:val="22"/>
              </w:rPr>
              <w:t>arecer do Controle Interno (P</w:t>
            </w:r>
            <w:r w:rsidRPr="006B7AC9">
              <w:rPr>
                <w:rFonts w:ascii="Arial" w:hAnsi="Arial" w:cs="Arial"/>
                <w:sz w:val="22"/>
                <w:szCs w:val="22"/>
              </w:rPr>
              <w:t>CI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2196F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de fevereiro</w:t>
            </w:r>
          </w:p>
        </w:tc>
      </w:tr>
      <w:tr w:rsidR="00B21F5D" w:rsidRPr="006B7AC9" w14:paraId="659DD428" w14:textId="77777777" w:rsidTr="0042408E">
        <w:trPr>
          <w:trHeight w:hRule="exact" w:val="86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292FB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5C510" w14:textId="77777777" w:rsidR="009A0CEA" w:rsidRDefault="00B21F5D" w:rsidP="00AA35B5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35B5">
              <w:rPr>
                <w:rFonts w:ascii="Arial" w:hAnsi="Arial" w:cs="Arial"/>
                <w:b/>
                <w:sz w:val="22"/>
                <w:szCs w:val="22"/>
              </w:rPr>
              <w:t>Envio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02F36">
              <w:rPr>
                <w:rFonts w:ascii="Arial" w:hAnsi="Arial" w:cs="Arial"/>
                <w:b/>
                <w:sz w:val="22"/>
                <w:szCs w:val="22"/>
              </w:rPr>
              <w:t>eletrônico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35B5">
              <w:rPr>
                <w:rFonts w:ascii="Arial" w:hAnsi="Arial" w:cs="Arial"/>
                <w:sz w:val="22"/>
                <w:szCs w:val="22"/>
              </w:rPr>
              <w:t xml:space="preserve">das seguintes peças ao ambiente </w:t>
            </w:r>
            <w:r w:rsidR="00AA35B5" w:rsidRPr="006B7AC9">
              <w:rPr>
                <w:rFonts w:ascii="Arial" w:hAnsi="Arial" w:cs="Arial"/>
                <w:sz w:val="22"/>
                <w:szCs w:val="22"/>
              </w:rPr>
              <w:t>TCE</w:t>
            </w:r>
            <w:r w:rsidR="00AA35B5">
              <w:rPr>
                <w:rFonts w:ascii="Arial" w:hAnsi="Arial" w:cs="Arial"/>
                <w:sz w:val="22"/>
                <w:szCs w:val="22"/>
              </w:rPr>
              <w:t xml:space="preserve"> Virtual:  DC, RG e RCI</w:t>
            </w:r>
            <w:r w:rsidR="009A0CE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6E7DF6" w14:textId="2C3B30A4" w:rsidR="00AA35B5" w:rsidRDefault="009A0CEA" w:rsidP="00AA35B5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Pr="006B7AC9">
              <w:rPr>
                <w:rFonts w:ascii="Arial" w:hAnsi="Arial" w:cs="Arial"/>
                <w:sz w:val="22"/>
                <w:szCs w:val="22"/>
              </w:rPr>
              <w:t>rt. 10 da IN TC-20/2015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77E35A4" w14:textId="77777777" w:rsidR="009A0CEA" w:rsidRDefault="009A0CEA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7D9482" w14:textId="46A17D17" w:rsidR="00B21F5D" w:rsidRPr="006B7AC9" w:rsidRDefault="00B21F5D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6F33A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 xml:space="preserve">Até o dia 28 de fevereiro </w:t>
            </w:r>
          </w:p>
        </w:tc>
      </w:tr>
      <w:tr w:rsidR="00B21F5D" w:rsidRPr="006B7AC9" w14:paraId="661D89DC" w14:textId="77777777" w:rsidTr="0042408E">
        <w:trPr>
          <w:trHeight w:hRule="exact" w:val="9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0E56F" w14:textId="3F25ED93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ECA89" w14:textId="42CC9018" w:rsidR="00B21F5D" w:rsidRPr="006B7AC9" w:rsidRDefault="009A0CEA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0CEA">
              <w:rPr>
                <w:rFonts w:ascii="Arial" w:hAnsi="Arial" w:cs="Arial"/>
                <w:sz w:val="22"/>
                <w:szCs w:val="22"/>
              </w:rPr>
              <w:t>Disponibilização</w:t>
            </w:r>
            <w:r w:rsidR="00B21F5D" w:rsidRPr="00B02F3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1F5D" w:rsidRPr="006B7AC9">
              <w:rPr>
                <w:rFonts w:ascii="Arial" w:hAnsi="Arial" w:cs="Arial"/>
                <w:sz w:val="22"/>
                <w:szCs w:val="22"/>
              </w:rPr>
              <w:t>do PCI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F5D">
              <w:rPr>
                <w:rFonts w:ascii="Arial" w:hAnsi="Arial" w:cs="Arial"/>
                <w:sz w:val="22"/>
                <w:szCs w:val="22"/>
              </w:rPr>
              <w:t>no ambiente virtual do TCE</w:t>
            </w:r>
            <w:r>
              <w:rPr>
                <w:rFonts w:ascii="Arial" w:hAnsi="Arial" w:cs="Arial"/>
                <w:sz w:val="22"/>
                <w:szCs w:val="22"/>
              </w:rPr>
              <w:t>, pela DIAG</w:t>
            </w:r>
            <w:r w:rsidR="00B21F5D">
              <w:rPr>
                <w:rFonts w:ascii="Arial" w:hAnsi="Arial" w:cs="Arial"/>
                <w:sz w:val="22"/>
                <w:szCs w:val="22"/>
              </w:rPr>
              <w:t>. (A</w:t>
            </w:r>
            <w:r w:rsidR="00B21F5D" w:rsidRPr="006B7AC9">
              <w:rPr>
                <w:rFonts w:ascii="Arial" w:hAnsi="Arial" w:cs="Arial"/>
                <w:sz w:val="22"/>
                <w:szCs w:val="22"/>
              </w:rPr>
              <w:t>rt. 1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6B7AC9">
              <w:rPr>
                <w:rFonts w:ascii="Arial" w:hAnsi="Arial" w:cs="Arial"/>
                <w:sz w:val="22"/>
                <w:szCs w:val="22"/>
              </w:rPr>
              <w:t>da IN TC-20/2015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CC34E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de março </w:t>
            </w:r>
          </w:p>
        </w:tc>
      </w:tr>
      <w:tr w:rsidR="00B21F5D" w:rsidRPr="006B7AC9" w14:paraId="5A4B3148" w14:textId="77777777" w:rsidTr="007E0E91">
        <w:trPr>
          <w:trHeight w:hRule="exact" w:val="14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EA6F3" w14:textId="77777777" w:rsidR="00B21F5D" w:rsidRPr="006B7AC9" w:rsidRDefault="00B21F5D" w:rsidP="00994909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7925" w14:textId="290B1CFD" w:rsidR="00B21F5D" w:rsidRDefault="00AA35B5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Envio</w:t>
            </w:r>
            <w:r w:rsidR="00B21F5D" w:rsidRPr="00B02F36">
              <w:rPr>
                <w:rFonts w:ascii="Arial" w:hAnsi="Arial" w:cs="Arial"/>
                <w:b/>
                <w:sz w:val="22"/>
                <w:szCs w:val="22"/>
              </w:rPr>
              <w:t xml:space="preserve"> eletrônico</w:t>
            </w:r>
            <w:r w:rsidR="009A0CE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9A0CEA">
              <w:rPr>
                <w:rFonts w:ascii="Arial" w:hAnsi="Arial" w:cs="Arial"/>
                <w:sz w:val="22"/>
                <w:szCs w:val="22"/>
              </w:rPr>
              <w:t xml:space="preserve">a PCG </w:t>
            </w:r>
            <w:r w:rsidR="009A0CEA" w:rsidRPr="006B7AC9">
              <w:rPr>
                <w:rFonts w:ascii="Arial" w:hAnsi="Arial" w:cs="Arial"/>
                <w:sz w:val="22"/>
                <w:szCs w:val="22"/>
              </w:rPr>
              <w:t>ao</w:t>
            </w:r>
            <w:r w:rsidR="009A0CEA">
              <w:rPr>
                <w:rFonts w:ascii="Arial" w:hAnsi="Arial" w:cs="Arial"/>
                <w:sz w:val="22"/>
                <w:szCs w:val="22"/>
              </w:rPr>
              <w:t xml:space="preserve"> ambiente do</w:t>
            </w:r>
            <w:r w:rsidR="009A0CEA" w:rsidRPr="006B7AC9">
              <w:rPr>
                <w:rFonts w:ascii="Arial" w:hAnsi="Arial" w:cs="Arial"/>
                <w:sz w:val="22"/>
                <w:szCs w:val="22"/>
              </w:rPr>
              <w:t xml:space="preserve"> TCE</w:t>
            </w:r>
            <w:r w:rsidR="009A0CEA">
              <w:rPr>
                <w:rFonts w:ascii="Arial" w:hAnsi="Arial" w:cs="Arial"/>
                <w:sz w:val="22"/>
                <w:szCs w:val="22"/>
              </w:rPr>
              <w:t xml:space="preserve"> Virtual, compreendendo as seguintes peças: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1F5D">
              <w:rPr>
                <w:rFonts w:ascii="Arial" w:hAnsi="Arial" w:cs="Arial"/>
                <w:sz w:val="22"/>
                <w:szCs w:val="22"/>
              </w:rPr>
              <w:t xml:space="preserve">DC, RG, RCI, PCI e </w:t>
            </w:r>
            <w:r w:rsidR="00B21F5D" w:rsidRPr="007E0E91">
              <w:rPr>
                <w:rFonts w:ascii="Arial" w:hAnsi="Arial" w:cs="Arial"/>
                <w:sz w:val="22"/>
                <w:szCs w:val="22"/>
                <w:u w:val="single"/>
              </w:rPr>
              <w:t>Pareceres de Conselhos, quando for o caso</w:t>
            </w:r>
            <w:r w:rsidR="00B21F5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89A7E52" w14:textId="1ACBD554" w:rsidR="009A0CEA" w:rsidRDefault="009A0CEA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</w:t>
            </w:r>
            <w:r w:rsidRPr="006B7AC9">
              <w:rPr>
                <w:rFonts w:ascii="Arial" w:hAnsi="Arial" w:cs="Arial"/>
                <w:sz w:val="22"/>
                <w:szCs w:val="22"/>
              </w:rPr>
              <w:t>rt. 10, § 6º, inciso I</w:t>
            </w: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  <w:r w:rsidRPr="006B7AC9">
              <w:rPr>
                <w:rFonts w:ascii="Arial" w:hAnsi="Arial" w:cs="Arial"/>
                <w:sz w:val="22"/>
                <w:szCs w:val="22"/>
              </w:rPr>
              <w:t>da IN TC-20/2015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C976C93" w14:textId="611B126B" w:rsidR="009A0CEA" w:rsidRPr="006B7AC9" w:rsidRDefault="009A0CEA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D3B5D" w14:textId="77777777" w:rsidR="00B21F5D" w:rsidRPr="006B7AC9" w:rsidRDefault="00B21F5D" w:rsidP="00994909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Até o dia 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de março </w:t>
            </w:r>
          </w:p>
        </w:tc>
      </w:tr>
    </w:tbl>
    <w:p w14:paraId="1BBC29BB" w14:textId="2516DEBD" w:rsidR="005D1ADF" w:rsidRDefault="005D1ADF">
      <w:pPr>
        <w:rPr>
          <w:rFonts w:ascii="Arial" w:hAnsi="Arial" w:cs="Arial"/>
        </w:rPr>
      </w:pPr>
    </w:p>
    <w:p w14:paraId="42556F14" w14:textId="301B688A" w:rsidR="009A0CEA" w:rsidRPr="00587FBF" w:rsidRDefault="009A0CEA" w:rsidP="006B0801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87FB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ANEXO III – Cronograma de Atividades (Empresas Estatais Dependentes)</w:t>
      </w:r>
    </w:p>
    <w:tbl>
      <w:tblPr>
        <w:tblW w:w="8769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9"/>
        <w:gridCol w:w="4685"/>
        <w:gridCol w:w="2835"/>
      </w:tblGrid>
      <w:tr w:rsidR="005E1B7D" w:rsidRPr="005E1B7D" w14:paraId="1A6D5063" w14:textId="77777777" w:rsidTr="000A5325">
        <w:trPr>
          <w:trHeight w:hRule="exact" w:val="133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B82DC" w14:textId="77777777" w:rsidR="007E0E91" w:rsidRPr="005E1B7D" w:rsidRDefault="007E0E91" w:rsidP="00AE30DB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8168C" w14:textId="77777777" w:rsidR="007E0E91" w:rsidRPr="005E1B7D" w:rsidRDefault="007E0E91" w:rsidP="00AE30DB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>Emissão dos Demonstrativos Contábeis (DC).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5F6E4" w14:textId="24EEBC89" w:rsidR="007E0E91" w:rsidRPr="005E1B7D" w:rsidRDefault="007E0E91" w:rsidP="000A5325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 xml:space="preserve">Até o dia </w:t>
            </w:r>
            <w:r w:rsidR="000A5325" w:rsidRPr="005E1B7D">
              <w:rPr>
                <w:rFonts w:ascii="Arial" w:hAnsi="Arial" w:cs="Arial"/>
                <w:sz w:val="22"/>
                <w:szCs w:val="22"/>
              </w:rPr>
              <w:t>20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0A5325" w:rsidRPr="005E1B7D">
              <w:rPr>
                <w:rFonts w:ascii="Arial" w:hAnsi="Arial" w:cs="Arial"/>
                <w:sz w:val="22"/>
                <w:szCs w:val="22"/>
              </w:rPr>
              <w:t>janeiro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ou após a liberação pela GECOC/SEF</w:t>
            </w:r>
            <w:r w:rsidR="000A5325" w:rsidRPr="005E1B7D">
              <w:rPr>
                <w:rFonts w:ascii="Arial" w:hAnsi="Arial" w:cs="Arial"/>
                <w:sz w:val="22"/>
                <w:szCs w:val="22"/>
              </w:rPr>
              <w:t xml:space="preserve"> para os relatórios da contabilidade pública</w:t>
            </w:r>
          </w:p>
        </w:tc>
      </w:tr>
      <w:tr w:rsidR="005E1B7D" w:rsidRPr="005E1B7D" w14:paraId="5564B54E" w14:textId="77777777" w:rsidTr="005E1B7D">
        <w:trPr>
          <w:trHeight w:hRule="exact" w:val="140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11AA" w14:textId="225F4CFA" w:rsidR="003F1ED1" w:rsidRPr="005E1B7D" w:rsidRDefault="003F1ED1" w:rsidP="00AE30DB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669EA" w14:textId="200DC009" w:rsidR="003F1ED1" w:rsidRDefault="003F1ED1" w:rsidP="005E1B7D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>E</w:t>
            </w:r>
            <w:r w:rsidR="00DE7218" w:rsidRPr="005E1B7D">
              <w:rPr>
                <w:rFonts w:ascii="Arial" w:hAnsi="Arial" w:cs="Arial"/>
                <w:sz w:val="22"/>
                <w:szCs w:val="22"/>
              </w:rPr>
              <w:t>nvio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para a Diretoria de Planejamento Orçamentário (DIOR) de</w:t>
            </w:r>
            <w:proofErr w:type="gramStart"/>
            <w:r w:rsidR="005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End"/>
            <w:r w:rsidR="005E1B7D" w:rsidRPr="005E1B7D">
              <w:rPr>
                <w:rFonts w:ascii="Arial" w:hAnsi="Arial" w:cs="Arial"/>
                <w:sz w:val="22"/>
                <w:szCs w:val="22"/>
              </w:rPr>
              <w:t>informações referentes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à avaliação</w:t>
            </w:r>
            <w:r w:rsidR="005E1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E1B7D">
              <w:rPr>
                <w:rFonts w:ascii="Arial" w:hAnsi="Arial" w:cs="Arial"/>
                <w:sz w:val="22"/>
                <w:szCs w:val="22"/>
              </w:rPr>
              <w:t xml:space="preserve"> qualitativa dos programas de governo e das ações/</w:t>
            </w:r>
            <w:proofErr w:type="spellStart"/>
            <w:r w:rsidRPr="005E1B7D">
              <w:rPr>
                <w:rFonts w:ascii="Arial" w:hAnsi="Arial" w:cs="Arial"/>
                <w:sz w:val="22"/>
                <w:szCs w:val="22"/>
              </w:rPr>
              <w:t>subações</w:t>
            </w:r>
            <w:proofErr w:type="spellEnd"/>
            <w:r w:rsidRPr="005E1B7D">
              <w:rPr>
                <w:rFonts w:ascii="Arial" w:hAnsi="Arial" w:cs="Arial"/>
                <w:sz w:val="22"/>
                <w:szCs w:val="22"/>
              </w:rPr>
              <w:t xml:space="preserve"> previstas na LDO.</w:t>
            </w:r>
            <w:r w:rsidRPr="005E1B7D">
              <w:rPr>
                <w:rFonts w:ascii="Arial" w:hAnsi="Arial" w:cs="Arial"/>
              </w:rPr>
              <w:t> </w:t>
            </w:r>
          </w:p>
          <w:p w14:paraId="1D39FE2B" w14:textId="77777777" w:rsidR="005E1B7D" w:rsidRDefault="005E1B7D" w:rsidP="005E1B7D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</w:rPr>
            </w:pPr>
          </w:p>
          <w:p w14:paraId="45F458F6" w14:textId="273BC2A1" w:rsidR="005E1B7D" w:rsidRPr="005E1B7D" w:rsidRDefault="005E1B7D" w:rsidP="005E1B7D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5A3AB" w14:textId="1C6F491D" w:rsidR="003F1ED1" w:rsidRPr="005E1B7D" w:rsidRDefault="003F1ED1" w:rsidP="003F1ED1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t>Até o dia 16 de fevereiro ou após a liberação pela GECOC/SEF</w:t>
            </w:r>
          </w:p>
        </w:tc>
      </w:tr>
      <w:tr w:rsidR="009A0CEA" w:rsidRPr="006B7AC9" w14:paraId="291D69C5" w14:textId="77777777" w:rsidTr="007E0E91">
        <w:trPr>
          <w:trHeight w:hRule="exact" w:val="1556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02F25" w14:textId="207AEF51" w:rsidR="009A0CEA" w:rsidRPr="005E1B7D" w:rsidRDefault="005E1B7D" w:rsidP="00AE30DB">
            <w:pPr>
              <w:pStyle w:val="PargrafodaLista0"/>
              <w:spacing w:before="240" w:after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5E1B7D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4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8A435" w14:textId="49294AB0" w:rsidR="009A0CEA" w:rsidRPr="006B7AC9" w:rsidRDefault="009A0CEA" w:rsidP="009A0CEA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Envio</w:t>
            </w:r>
            <w:r w:rsidRPr="00B02F36">
              <w:rPr>
                <w:rFonts w:ascii="Arial" w:hAnsi="Arial" w:cs="Arial"/>
                <w:b/>
                <w:sz w:val="22"/>
                <w:szCs w:val="22"/>
              </w:rPr>
              <w:t xml:space="preserve"> eletrônico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da PCG ao</w:t>
            </w:r>
            <w:r>
              <w:rPr>
                <w:rFonts w:ascii="Arial" w:hAnsi="Arial" w:cs="Arial"/>
                <w:sz w:val="22"/>
                <w:szCs w:val="22"/>
              </w:rPr>
              <w:t xml:space="preserve"> ambiente do</w:t>
            </w:r>
            <w:r w:rsidRPr="006B7AC9">
              <w:rPr>
                <w:rFonts w:ascii="Arial" w:hAnsi="Arial" w:cs="Arial"/>
                <w:sz w:val="22"/>
                <w:szCs w:val="22"/>
              </w:rPr>
              <w:t xml:space="preserve"> TCE</w:t>
            </w:r>
            <w:r>
              <w:rPr>
                <w:rFonts w:ascii="Arial" w:hAnsi="Arial" w:cs="Arial"/>
                <w:sz w:val="22"/>
                <w:szCs w:val="22"/>
              </w:rPr>
              <w:t xml:space="preserve"> Virtual, compreendendo as seguintes peças: DC, RG, RCI, Relatórios e Pareceres de Conselhos.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2F36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B7AC9">
              <w:rPr>
                <w:rFonts w:ascii="Arial" w:hAnsi="Arial" w:cs="Arial"/>
                <w:sz w:val="22"/>
                <w:szCs w:val="22"/>
              </w:rPr>
              <w:t>rt. 10, § 6º, inciso I da IN TC-20/2015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06132" w14:textId="77777777" w:rsidR="009A0CEA" w:rsidRPr="006B7AC9" w:rsidRDefault="009A0CEA" w:rsidP="00AE30DB">
            <w:pPr>
              <w:pStyle w:val="PargrafodaLista0"/>
              <w:spacing w:before="240" w:after="120"/>
              <w:ind w:left="149" w:right="13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AC9">
              <w:rPr>
                <w:rFonts w:ascii="Arial" w:hAnsi="Arial" w:cs="Arial"/>
                <w:sz w:val="22"/>
                <w:szCs w:val="22"/>
              </w:rPr>
              <w:t>Até o dia 10 de maio</w:t>
            </w:r>
          </w:p>
        </w:tc>
      </w:tr>
    </w:tbl>
    <w:p w14:paraId="56B46128" w14:textId="77777777" w:rsidR="009A0CEA" w:rsidRPr="006B7AC9" w:rsidRDefault="009A0CEA">
      <w:pPr>
        <w:rPr>
          <w:rFonts w:ascii="Arial" w:hAnsi="Arial" w:cs="Arial"/>
        </w:rPr>
      </w:pPr>
    </w:p>
    <w:sectPr w:rsidR="009A0CEA" w:rsidRPr="006B7AC9" w:rsidSect="00E07224">
      <w:head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79A13F" w14:textId="77777777" w:rsidR="00DD11F6" w:rsidRDefault="00DD11F6" w:rsidP="006B7AC9">
      <w:pPr>
        <w:spacing w:after="0" w:line="240" w:lineRule="auto"/>
      </w:pPr>
      <w:r>
        <w:separator/>
      </w:r>
    </w:p>
  </w:endnote>
  <w:endnote w:type="continuationSeparator" w:id="0">
    <w:p w14:paraId="4B00C98C" w14:textId="77777777" w:rsidR="00DD11F6" w:rsidRDefault="00DD11F6" w:rsidP="006B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B55CC" w14:textId="77777777" w:rsidR="00DD11F6" w:rsidRDefault="00DD11F6" w:rsidP="006B7AC9">
      <w:pPr>
        <w:spacing w:after="0" w:line="240" w:lineRule="auto"/>
      </w:pPr>
      <w:r>
        <w:separator/>
      </w:r>
    </w:p>
  </w:footnote>
  <w:footnote w:type="continuationSeparator" w:id="0">
    <w:p w14:paraId="292B788B" w14:textId="77777777" w:rsidR="00DD11F6" w:rsidRDefault="00DD11F6" w:rsidP="006B7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754B" w14:textId="77ED6176" w:rsidR="00AE3CC0" w:rsidRDefault="00AE3CC0" w:rsidP="00AE3CC0">
    <w:pPr>
      <w:pStyle w:val="Cabealho"/>
      <w:jc w:val="center"/>
      <w:rPr>
        <w:rFonts w:ascii="Calibri" w:hAnsi="Calibri" w:cs="Calibri"/>
        <w:b/>
        <w:bCs/>
        <w:sz w:val="18"/>
        <w:szCs w:val="18"/>
      </w:rPr>
    </w:pPr>
    <w:r>
      <w:object w:dxaOrig="2295" w:dyaOrig="2190" w14:anchorId="6FF9B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45pt;height:78.1pt" o:ole="">
          <v:imagedata r:id="rId1" o:title=""/>
        </v:shape>
        <o:OLEObject Type="Embed" ProgID="MSPhotoEd.3" ShapeID="_x0000_i1025" DrawAspect="Content" ObjectID="_1578754746" r:id="rId2"/>
      </w:object>
    </w:r>
    <w:r w:rsidRPr="004C0485">
      <w:rPr>
        <w:rFonts w:ascii="Calibri" w:hAnsi="Calibri" w:cs="Calibri"/>
        <w:b/>
        <w:bCs/>
        <w:sz w:val="18"/>
        <w:szCs w:val="18"/>
      </w:rPr>
      <w:t xml:space="preserve"> </w:t>
    </w:r>
  </w:p>
  <w:p w14:paraId="28911193" w14:textId="68C0EBFE" w:rsidR="00AE3CC0" w:rsidRDefault="00AE3CC0" w:rsidP="00AE3CC0">
    <w:pPr>
      <w:pStyle w:val="Cabealho"/>
      <w:jc w:val="center"/>
    </w:pPr>
    <w:r w:rsidRPr="005B4293">
      <w:rPr>
        <w:rFonts w:ascii="Arial" w:hAnsi="Arial" w:cs="Arial"/>
        <w:b/>
        <w:bCs/>
      </w:rPr>
      <w:t>Secretaria de Estado da Fazenda</w:t>
    </w:r>
  </w:p>
  <w:p w14:paraId="6E7F7ABF" w14:textId="77777777" w:rsidR="00AE3CC0" w:rsidRDefault="00AE3C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23"/>
    <w:rsid w:val="0003720C"/>
    <w:rsid w:val="000A5325"/>
    <w:rsid w:val="000B02C5"/>
    <w:rsid w:val="000B2208"/>
    <w:rsid w:val="0011008C"/>
    <w:rsid w:val="00144323"/>
    <w:rsid w:val="00150F55"/>
    <w:rsid w:val="00195355"/>
    <w:rsid w:val="00250007"/>
    <w:rsid w:val="00256E25"/>
    <w:rsid w:val="0028471F"/>
    <w:rsid w:val="002C2017"/>
    <w:rsid w:val="002C2957"/>
    <w:rsid w:val="002E413E"/>
    <w:rsid w:val="002F25A6"/>
    <w:rsid w:val="002F4AA2"/>
    <w:rsid w:val="002F6F7A"/>
    <w:rsid w:val="00317362"/>
    <w:rsid w:val="0031769C"/>
    <w:rsid w:val="0032764D"/>
    <w:rsid w:val="003350F8"/>
    <w:rsid w:val="00350A46"/>
    <w:rsid w:val="003D68C2"/>
    <w:rsid w:val="003E2126"/>
    <w:rsid w:val="003F1ED1"/>
    <w:rsid w:val="0041274F"/>
    <w:rsid w:val="0042408E"/>
    <w:rsid w:val="004615FF"/>
    <w:rsid w:val="00471C91"/>
    <w:rsid w:val="00474656"/>
    <w:rsid w:val="004A1E0E"/>
    <w:rsid w:val="004D7F87"/>
    <w:rsid w:val="00502459"/>
    <w:rsid w:val="00545AF8"/>
    <w:rsid w:val="00577CCC"/>
    <w:rsid w:val="00587FBF"/>
    <w:rsid w:val="005930E3"/>
    <w:rsid w:val="00595889"/>
    <w:rsid w:val="005A19B6"/>
    <w:rsid w:val="005D1ADF"/>
    <w:rsid w:val="005D5FA9"/>
    <w:rsid w:val="005E1B7D"/>
    <w:rsid w:val="005F7A64"/>
    <w:rsid w:val="00665D0F"/>
    <w:rsid w:val="00675346"/>
    <w:rsid w:val="006A6B23"/>
    <w:rsid w:val="006A7410"/>
    <w:rsid w:val="006B00F0"/>
    <w:rsid w:val="006B0801"/>
    <w:rsid w:val="006B7AC9"/>
    <w:rsid w:val="006E398B"/>
    <w:rsid w:val="00722BAE"/>
    <w:rsid w:val="00757AF7"/>
    <w:rsid w:val="0077589B"/>
    <w:rsid w:val="007B28CE"/>
    <w:rsid w:val="007E0E91"/>
    <w:rsid w:val="007F33A0"/>
    <w:rsid w:val="007F6E72"/>
    <w:rsid w:val="007F74E4"/>
    <w:rsid w:val="00802492"/>
    <w:rsid w:val="00815AE7"/>
    <w:rsid w:val="00834317"/>
    <w:rsid w:val="00846DAA"/>
    <w:rsid w:val="00891E51"/>
    <w:rsid w:val="008A6FEA"/>
    <w:rsid w:val="008B5738"/>
    <w:rsid w:val="008C5E2E"/>
    <w:rsid w:val="00922CE6"/>
    <w:rsid w:val="0099780A"/>
    <w:rsid w:val="009A0CEA"/>
    <w:rsid w:val="009C554D"/>
    <w:rsid w:val="009D6471"/>
    <w:rsid w:val="009E1FB7"/>
    <w:rsid w:val="00A11DB3"/>
    <w:rsid w:val="00A546C0"/>
    <w:rsid w:val="00A8308F"/>
    <w:rsid w:val="00A8413A"/>
    <w:rsid w:val="00AA35B5"/>
    <w:rsid w:val="00AB2D10"/>
    <w:rsid w:val="00AD5018"/>
    <w:rsid w:val="00AE3CC0"/>
    <w:rsid w:val="00B01A95"/>
    <w:rsid w:val="00B11D04"/>
    <w:rsid w:val="00B21F5D"/>
    <w:rsid w:val="00B240F3"/>
    <w:rsid w:val="00B91DFA"/>
    <w:rsid w:val="00BA6B14"/>
    <w:rsid w:val="00C85633"/>
    <w:rsid w:val="00CB6571"/>
    <w:rsid w:val="00CE1F7B"/>
    <w:rsid w:val="00D06A03"/>
    <w:rsid w:val="00D44109"/>
    <w:rsid w:val="00D4584F"/>
    <w:rsid w:val="00D470F3"/>
    <w:rsid w:val="00D872D8"/>
    <w:rsid w:val="00D93349"/>
    <w:rsid w:val="00DB54FB"/>
    <w:rsid w:val="00DD11F6"/>
    <w:rsid w:val="00DE7218"/>
    <w:rsid w:val="00DF6831"/>
    <w:rsid w:val="00E00585"/>
    <w:rsid w:val="00E07224"/>
    <w:rsid w:val="00E16C4E"/>
    <w:rsid w:val="00E6744A"/>
    <w:rsid w:val="00E956A1"/>
    <w:rsid w:val="00EC7545"/>
    <w:rsid w:val="00F05373"/>
    <w:rsid w:val="00F2212C"/>
    <w:rsid w:val="00F34784"/>
    <w:rsid w:val="00F37E4B"/>
    <w:rsid w:val="00F81CCB"/>
    <w:rsid w:val="00F9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808D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91"/>
  </w:style>
  <w:style w:type="paragraph" w:styleId="Ttulo1">
    <w:name w:val="heading 1"/>
    <w:basedOn w:val="Normal"/>
    <w:next w:val="Normal"/>
    <w:link w:val="Ttulo1Char"/>
    <w:qFormat/>
    <w:rsid w:val="00A8413A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caps/>
      <w:kern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413A"/>
    <w:rPr>
      <w:rFonts w:ascii="Arial" w:hAnsi="Arial" w:cs="Arial"/>
      <w:b/>
      <w:bCs/>
      <w:caps/>
      <w:kern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rsid w:val="00C85633"/>
    <w:pPr>
      <w:tabs>
        <w:tab w:val="right" w:leader="dot" w:pos="9062"/>
      </w:tabs>
      <w:spacing w:after="0" w:line="360" w:lineRule="auto"/>
      <w:jc w:val="both"/>
    </w:pPr>
    <w:rPr>
      <w:rFonts w:ascii="Arial" w:eastAsia="Times New Roman" w:hAnsi="Arial" w:cs="Times New Roman"/>
      <w:bCs/>
      <w:iCs/>
      <w:noProof/>
      <w:snapToGrid w:val="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C85633"/>
    <w:pPr>
      <w:spacing w:before="120" w:after="0" w:line="240" w:lineRule="auto"/>
      <w:ind w:left="240"/>
    </w:pPr>
    <w:rPr>
      <w:rFonts w:ascii="Arial" w:eastAsia="Times New Roman" w:hAnsi="Arial" w:cs="Times New Roman"/>
      <w:bCs/>
      <w:lang w:eastAsia="pt-BR"/>
    </w:rPr>
  </w:style>
  <w:style w:type="paragraph" w:styleId="Sumrio3">
    <w:name w:val="toc 3"/>
    <w:basedOn w:val="Normal"/>
    <w:next w:val="Normal"/>
    <w:autoRedefine/>
    <w:uiPriority w:val="39"/>
    <w:rsid w:val="00C85633"/>
    <w:pPr>
      <w:spacing w:after="0" w:line="240" w:lineRule="auto"/>
      <w:ind w:left="480"/>
    </w:pPr>
    <w:rPr>
      <w:rFonts w:ascii="Arial" w:eastAsia="Times New Roman" w:hAnsi="Arial" w:cs="Times New Roman"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C8563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afodalista">
    <w:name w:val="pargrafodalista"/>
    <w:basedOn w:val="Normal"/>
    <w:rsid w:val="0014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44323"/>
  </w:style>
  <w:style w:type="paragraph" w:styleId="Textodebalo">
    <w:name w:val="Balloon Text"/>
    <w:basedOn w:val="Normal"/>
    <w:link w:val="TextodebaloChar"/>
    <w:uiPriority w:val="99"/>
    <w:semiHidden/>
    <w:unhideWhenUsed/>
    <w:rsid w:val="006E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98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9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8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80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D5FA9"/>
    <w:pPr>
      <w:spacing w:after="0" w:line="240" w:lineRule="auto"/>
    </w:pPr>
  </w:style>
  <w:style w:type="paragraph" w:styleId="PargrafodaLista0">
    <w:name w:val="List Paragraph"/>
    <w:basedOn w:val="Normal"/>
    <w:uiPriority w:val="34"/>
    <w:qFormat/>
    <w:rsid w:val="00F22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1AD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6B7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7AC9"/>
  </w:style>
  <w:style w:type="paragraph" w:styleId="Rodap">
    <w:name w:val="footer"/>
    <w:basedOn w:val="Normal"/>
    <w:link w:val="RodapChar"/>
    <w:uiPriority w:val="99"/>
    <w:unhideWhenUsed/>
    <w:rsid w:val="006B7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91"/>
  </w:style>
  <w:style w:type="paragraph" w:styleId="Ttulo1">
    <w:name w:val="heading 1"/>
    <w:basedOn w:val="Normal"/>
    <w:next w:val="Normal"/>
    <w:link w:val="Ttulo1Char"/>
    <w:qFormat/>
    <w:rsid w:val="00A8413A"/>
    <w:pPr>
      <w:keepNext/>
      <w:spacing w:before="240" w:after="60" w:line="240" w:lineRule="auto"/>
      <w:jc w:val="both"/>
      <w:outlineLvl w:val="0"/>
    </w:pPr>
    <w:rPr>
      <w:rFonts w:ascii="Arial" w:hAnsi="Arial" w:cs="Arial"/>
      <w:b/>
      <w:bCs/>
      <w:caps/>
      <w:kern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8413A"/>
    <w:rPr>
      <w:rFonts w:ascii="Arial" w:hAnsi="Arial" w:cs="Arial"/>
      <w:b/>
      <w:bCs/>
      <w:caps/>
      <w:kern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rsid w:val="00C85633"/>
    <w:pPr>
      <w:tabs>
        <w:tab w:val="right" w:leader="dot" w:pos="9062"/>
      </w:tabs>
      <w:spacing w:after="0" w:line="360" w:lineRule="auto"/>
      <w:jc w:val="both"/>
    </w:pPr>
    <w:rPr>
      <w:rFonts w:ascii="Arial" w:eastAsia="Times New Roman" w:hAnsi="Arial" w:cs="Times New Roman"/>
      <w:bCs/>
      <w:iCs/>
      <w:noProof/>
      <w:snapToGrid w:val="0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rsid w:val="00C85633"/>
    <w:pPr>
      <w:spacing w:before="120" w:after="0" w:line="240" w:lineRule="auto"/>
      <w:ind w:left="240"/>
    </w:pPr>
    <w:rPr>
      <w:rFonts w:ascii="Arial" w:eastAsia="Times New Roman" w:hAnsi="Arial" w:cs="Times New Roman"/>
      <w:bCs/>
      <w:lang w:eastAsia="pt-BR"/>
    </w:rPr>
  </w:style>
  <w:style w:type="paragraph" w:styleId="Sumrio3">
    <w:name w:val="toc 3"/>
    <w:basedOn w:val="Normal"/>
    <w:next w:val="Normal"/>
    <w:autoRedefine/>
    <w:uiPriority w:val="39"/>
    <w:rsid w:val="00C85633"/>
    <w:pPr>
      <w:spacing w:after="0" w:line="240" w:lineRule="auto"/>
      <w:ind w:left="480"/>
    </w:pPr>
    <w:rPr>
      <w:rFonts w:ascii="Arial" w:eastAsia="Times New Roman" w:hAnsi="Arial" w:cs="Times New Roman"/>
      <w:szCs w:val="20"/>
      <w:lang w:eastAsia="pt-BR"/>
    </w:rPr>
  </w:style>
  <w:style w:type="paragraph" w:styleId="Sumrio4">
    <w:name w:val="toc 4"/>
    <w:basedOn w:val="Normal"/>
    <w:next w:val="Normal"/>
    <w:autoRedefine/>
    <w:semiHidden/>
    <w:rsid w:val="00C85633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afodalista">
    <w:name w:val="pargrafodalista"/>
    <w:basedOn w:val="Normal"/>
    <w:rsid w:val="00144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44323"/>
  </w:style>
  <w:style w:type="paragraph" w:styleId="Textodebalo">
    <w:name w:val="Balloon Text"/>
    <w:basedOn w:val="Normal"/>
    <w:link w:val="TextodebaloChar"/>
    <w:uiPriority w:val="99"/>
    <w:semiHidden/>
    <w:unhideWhenUsed/>
    <w:rsid w:val="006E3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98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99780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780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780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78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780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5D5FA9"/>
    <w:pPr>
      <w:spacing w:after="0" w:line="240" w:lineRule="auto"/>
    </w:pPr>
  </w:style>
  <w:style w:type="paragraph" w:styleId="PargrafodaLista0">
    <w:name w:val="List Paragraph"/>
    <w:basedOn w:val="Normal"/>
    <w:uiPriority w:val="34"/>
    <w:qFormat/>
    <w:rsid w:val="00F22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D1AD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6B7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B7AC9"/>
  </w:style>
  <w:style w:type="paragraph" w:styleId="Rodap">
    <w:name w:val="footer"/>
    <w:basedOn w:val="Normal"/>
    <w:link w:val="RodapChar"/>
    <w:uiPriority w:val="99"/>
    <w:unhideWhenUsed/>
    <w:rsid w:val="006B7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08A6-BBDB-480D-9802-DC279C91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2246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Ribeiro Borges</dc:creator>
  <cp:lastModifiedBy>Alessandra Barcellos Barros</cp:lastModifiedBy>
  <cp:revision>2</cp:revision>
  <cp:lastPrinted>2017-12-11T19:09:00Z</cp:lastPrinted>
  <dcterms:created xsi:type="dcterms:W3CDTF">2018-01-29T20:13:00Z</dcterms:created>
  <dcterms:modified xsi:type="dcterms:W3CDTF">2018-01-29T20:13:00Z</dcterms:modified>
</cp:coreProperties>
</file>