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58" w:rsidRPr="009870CD" w:rsidRDefault="00403F58" w:rsidP="00403F58">
      <w:pPr>
        <w:pStyle w:val="Ttulo"/>
        <w:rPr>
          <w:rFonts w:cs="Arial"/>
          <w:szCs w:val="24"/>
        </w:rPr>
      </w:pPr>
      <w:r w:rsidRPr="009870CD">
        <w:rPr>
          <w:rFonts w:cs="Arial"/>
          <w:szCs w:val="24"/>
        </w:rPr>
        <w:t>INSTRUÇÃO NORMATIVA CONJUNTA</w:t>
      </w:r>
    </w:p>
    <w:p w:rsidR="00403F58" w:rsidRPr="009870CD" w:rsidRDefault="00403F58" w:rsidP="00403F58">
      <w:pPr>
        <w:pStyle w:val="Ttulo"/>
        <w:rPr>
          <w:rFonts w:cs="Arial"/>
          <w:szCs w:val="24"/>
        </w:rPr>
      </w:pPr>
      <w:r w:rsidRPr="009870CD">
        <w:rPr>
          <w:rFonts w:cs="Arial"/>
          <w:szCs w:val="24"/>
        </w:rPr>
        <w:t>SEF/</w:t>
      </w:r>
      <w:r w:rsidRPr="00585C52">
        <w:rPr>
          <w:rFonts w:cs="Arial"/>
          <w:szCs w:val="24"/>
        </w:rPr>
        <w:t xml:space="preserve">SCC Nº </w:t>
      </w:r>
      <w:r w:rsidR="00C03075">
        <w:rPr>
          <w:rFonts w:cs="Arial"/>
          <w:szCs w:val="24"/>
        </w:rPr>
        <w:t>5</w:t>
      </w:r>
      <w:r w:rsidRPr="00585C52">
        <w:rPr>
          <w:rFonts w:cs="Arial"/>
          <w:szCs w:val="24"/>
        </w:rPr>
        <w:t xml:space="preserve">, DE </w:t>
      </w:r>
      <w:r w:rsidR="00C03075">
        <w:rPr>
          <w:rFonts w:cs="Arial"/>
          <w:szCs w:val="24"/>
        </w:rPr>
        <w:t>28 DE MAIO DE 2018</w:t>
      </w:r>
      <w:bookmarkStart w:id="0" w:name="_GoBack"/>
      <w:bookmarkEnd w:id="0"/>
    </w:p>
    <w:p w:rsidR="00403F58" w:rsidRPr="00485A71" w:rsidRDefault="00403F58" w:rsidP="00403F58">
      <w:pPr>
        <w:pStyle w:val="Ttulo"/>
        <w:ind w:firstLine="2552"/>
        <w:jc w:val="both"/>
        <w:rPr>
          <w:rFonts w:cs="Arial"/>
          <w:b w:val="0"/>
          <w:szCs w:val="24"/>
        </w:rPr>
      </w:pPr>
    </w:p>
    <w:p w:rsidR="00403F58" w:rsidRPr="00485A71" w:rsidRDefault="00403F58" w:rsidP="00403F58">
      <w:pPr>
        <w:pStyle w:val="Ttulo"/>
        <w:ind w:firstLine="2552"/>
        <w:jc w:val="both"/>
        <w:rPr>
          <w:rFonts w:cs="Arial"/>
          <w:b w:val="0"/>
          <w:color w:val="auto"/>
          <w:szCs w:val="24"/>
        </w:rPr>
      </w:pPr>
    </w:p>
    <w:p w:rsidR="00403F58" w:rsidRPr="00485A71" w:rsidRDefault="00403F58" w:rsidP="00403F58">
      <w:pPr>
        <w:ind w:left="2552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Institui os modelos de referência </w:t>
      </w:r>
      <w:r w:rsidRPr="009870CD">
        <w:rPr>
          <w:rFonts w:cs="Arial"/>
          <w:color w:val="auto"/>
          <w:sz w:val="24"/>
          <w:szCs w:val="24"/>
        </w:rPr>
        <w:t>previstos no Decreto Estadual nº 1.484, de 07 de fevereiro de 2018, com vistas à aplicação da Lei Federal nº 13.303/</w:t>
      </w:r>
      <w:r>
        <w:rPr>
          <w:rFonts w:cs="Arial"/>
          <w:color w:val="auto"/>
          <w:sz w:val="24"/>
          <w:szCs w:val="24"/>
        </w:rPr>
        <w:t>20</w:t>
      </w:r>
      <w:r w:rsidRPr="009870CD">
        <w:rPr>
          <w:rFonts w:cs="Arial"/>
          <w:color w:val="auto"/>
          <w:sz w:val="24"/>
          <w:szCs w:val="24"/>
        </w:rPr>
        <w:t>16</w:t>
      </w:r>
      <w:r>
        <w:rPr>
          <w:rFonts w:cs="Arial"/>
          <w:color w:val="auto"/>
          <w:sz w:val="24"/>
          <w:szCs w:val="24"/>
        </w:rPr>
        <w:t xml:space="preserve"> e do Decreto nº 1.007/2016</w:t>
      </w:r>
      <w:r w:rsidRPr="00485A71">
        <w:rPr>
          <w:rFonts w:cs="Arial"/>
          <w:color w:val="auto"/>
          <w:sz w:val="24"/>
          <w:szCs w:val="24"/>
        </w:rPr>
        <w:t>,</w:t>
      </w:r>
      <w:r>
        <w:rPr>
          <w:rFonts w:cs="Arial"/>
          <w:color w:val="auto"/>
          <w:sz w:val="24"/>
          <w:szCs w:val="24"/>
        </w:rPr>
        <w:t xml:space="preserve"> no âmbito das empresas públicas e sociedades de economia mista de Santa Catarina, e estabelece outras providências.</w:t>
      </w:r>
    </w:p>
    <w:p w:rsidR="00403F58" w:rsidRPr="00485A71" w:rsidRDefault="00403F58" w:rsidP="00403F58">
      <w:pPr>
        <w:pStyle w:val="Ttulo"/>
        <w:ind w:firstLine="2552"/>
        <w:jc w:val="both"/>
        <w:rPr>
          <w:rFonts w:cs="Arial"/>
          <w:b w:val="0"/>
          <w:color w:val="auto"/>
          <w:szCs w:val="24"/>
        </w:rPr>
      </w:pPr>
    </w:p>
    <w:p w:rsidR="00403F58" w:rsidRPr="00485A71" w:rsidRDefault="00403F58" w:rsidP="00403F58">
      <w:pPr>
        <w:pStyle w:val="Ttulo"/>
        <w:ind w:firstLine="2552"/>
        <w:jc w:val="both"/>
        <w:rPr>
          <w:rFonts w:cs="Arial"/>
          <w:b w:val="0"/>
          <w:szCs w:val="24"/>
        </w:rPr>
      </w:pPr>
    </w:p>
    <w:p w:rsidR="00403F58" w:rsidRPr="001509F3" w:rsidRDefault="00403F58" w:rsidP="00403F58">
      <w:pPr>
        <w:ind w:firstLine="2552"/>
        <w:jc w:val="both"/>
        <w:rPr>
          <w:rFonts w:eastAsia="Arial Unicode MS" w:cs="Arial"/>
          <w:color w:val="auto"/>
          <w:spacing w:val="14"/>
          <w:sz w:val="24"/>
          <w:szCs w:val="24"/>
        </w:rPr>
      </w:pPr>
      <w:r w:rsidRPr="006327CE">
        <w:rPr>
          <w:rFonts w:eastAsia="Arial Unicode MS" w:cs="Arial"/>
          <w:b/>
          <w:color w:val="auto"/>
          <w:spacing w:val="14"/>
          <w:sz w:val="24"/>
          <w:szCs w:val="24"/>
        </w:rPr>
        <w:t>A SECRETARIA DE ESTADO DA CASA CIVIL (SCC</w:t>
      </w:r>
      <w:r w:rsidRPr="00DD4820">
        <w:rPr>
          <w:rFonts w:eastAsia="Arial Unicode MS" w:cs="Arial"/>
          <w:b/>
          <w:color w:val="auto"/>
          <w:spacing w:val="14"/>
          <w:sz w:val="24"/>
          <w:szCs w:val="24"/>
        </w:rPr>
        <w:t>)</w:t>
      </w:r>
      <w:r w:rsidRPr="001509F3">
        <w:rPr>
          <w:rFonts w:eastAsia="Arial Unicode MS" w:cs="Arial"/>
          <w:color w:val="auto"/>
          <w:spacing w:val="14"/>
          <w:sz w:val="24"/>
          <w:szCs w:val="24"/>
        </w:rPr>
        <w:t xml:space="preserve">, órgão central do Sistema de Coordenação e Articulações das Ações de Governo e de todos os Atos do Processo Legislativo, e a </w:t>
      </w:r>
      <w:r w:rsidRPr="001509F3">
        <w:rPr>
          <w:rFonts w:eastAsia="Arial Unicode MS" w:cs="Arial"/>
          <w:b/>
          <w:color w:val="auto"/>
          <w:spacing w:val="14"/>
          <w:sz w:val="24"/>
          <w:szCs w:val="24"/>
        </w:rPr>
        <w:t>SECRETARIA DE ESTADO DA FAZENDA (SEF)</w:t>
      </w:r>
      <w:r w:rsidRPr="001509F3">
        <w:rPr>
          <w:rFonts w:eastAsia="Arial Unicode MS" w:cs="Arial"/>
          <w:color w:val="auto"/>
          <w:spacing w:val="14"/>
          <w:sz w:val="24"/>
          <w:szCs w:val="24"/>
        </w:rPr>
        <w:t>, no uso das atribuições que lhes conferem o art. 46 e o §5º do art. 31 da Lei Complementar Estadual nº 381, de 07 de maio de 2007,</w:t>
      </w:r>
    </w:p>
    <w:p w:rsidR="00403F58" w:rsidRPr="00AE1B85" w:rsidRDefault="00403F58" w:rsidP="00403F58">
      <w:pPr>
        <w:ind w:firstLine="2552"/>
        <w:jc w:val="both"/>
        <w:rPr>
          <w:rFonts w:eastAsia="Arial Unicode MS" w:cs="Arial"/>
          <w:color w:val="auto"/>
          <w:spacing w:val="14"/>
          <w:sz w:val="24"/>
          <w:szCs w:val="24"/>
          <w:u w:val="single"/>
        </w:rPr>
      </w:pPr>
    </w:p>
    <w:p w:rsidR="00403F58" w:rsidRPr="001509F3" w:rsidRDefault="00403F58" w:rsidP="00403F58">
      <w:pPr>
        <w:ind w:firstLine="2552"/>
        <w:jc w:val="both"/>
        <w:rPr>
          <w:rFonts w:eastAsia="Arial Unicode MS" w:cs="Arial"/>
          <w:b/>
          <w:color w:val="auto"/>
          <w:spacing w:val="14"/>
          <w:sz w:val="24"/>
          <w:szCs w:val="24"/>
          <w:u w:val="single"/>
        </w:rPr>
      </w:pPr>
      <w:r w:rsidRPr="001509F3">
        <w:rPr>
          <w:rFonts w:eastAsia="Arial Unicode MS" w:cs="Arial"/>
          <w:b/>
          <w:color w:val="auto"/>
          <w:spacing w:val="14"/>
          <w:sz w:val="24"/>
          <w:szCs w:val="24"/>
          <w:u w:val="single"/>
        </w:rPr>
        <w:t>RESOLVEM</w:t>
      </w:r>
    </w:p>
    <w:p w:rsidR="00403F58" w:rsidRPr="00AE1B85" w:rsidRDefault="00403F58" w:rsidP="00403F58">
      <w:pPr>
        <w:ind w:firstLine="2552"/>
        <w:jc w:val="both"/>
        <w:rPr>
          <w:rFonts w:eastAsia="Arial Unicode MS" w:cs="Arial"/>
          <w:color w:val="auto"/>
          <w:spacing w:val="14"/>
          <w:sz w:val="24"/>
          <w:szCs w:val="24"/>
          <w:u w:val="single"/>
        </w:rPr>
      </w:pPr>
    </w:p>
    <w:p w:rsidR="00403F58" w:rsidRPr="00485A71" w:rsidRDefault="00403F58" w:rsidP="00403F58">
      <w:pPr>
        <w:pStyle w:val="Ttulo"/>
        <w:ind w:firstLine="2552"/>
        <w:jc w:val="both"/>
        <w:rPr>
          <w:rFonts w:cs="Arial"/>
          <w:b w:val="0"/>
          <w:szCs w:val="24"/>
        </w:rPr>
      </w:pPr>
    </w:p>
    <w:p w:rsidR="00403F58" w:rsidRPr="001509F3" w:rsidRDefault="00403F58" w:rsidP="00403F58">
      <w:pPr>
        <w:pStyle w:val="Ttulo"/>
        <w:rPr>
          <w:rFonts w:cs="Arial"/>
          <w:szCs w:val="24"/>
        </w:rPr>
      </w:pPr>
      <w:r w:rsidRPr="001509F3">
        <w:rPr>
          <w:rFonts w:cs="Arial"/>
          <w:szCs w:val="24"/>
        </w:rPr>
        <w:t>CAPÍTULO I</w:t>
      </w:r>
    </w:p>
    <w:p w:rsidR="00403F58" w:rsidRPr="001509F3" w:rsidRDefault="00403F58" w:rsidP="00403F58">
      <w:pPr>
        <w:pStyle w:val="Ttulo"/>
        <w:rPr>
          <w:rFonts w:cs="Arial"/>
          <w:szCs w:val="24"/>
        </w:rPr>
      </w:pPr>
      <w:r w:rsidRPr="001509F3">
        <w:rPr>
          <w:rFonts w:cs="Arial"/>
          <w:color w:val="auto"/>
          <w:szCs w:val="24"/>
        </w:rPr>
        <w:t>DAS DISPOSIÇÕES</w:t>
      </w:r>
      <w:r w:rsidRPr="001509F3">
        <w:rPr>
          <w:rFonts w:cs="Arial"/>
          <w:szCs w:val="24"/>
        </w:rPr>
        <w:t xml:space="preserve"> PRELIMINARES</w:t>
      </w:r>
    </w:p>
    <w:p w:rsidR="00403F58" w:rsidRDefault="00403F58" w:rsidP="00403F58">
      <w:pPr>
        <w:pStyle w:val="Ttulo"/>
        <w:ind w:firstLine="2552"/>
        <w:jc w:val="both"/>
        <w:rPr>
          <w:rFonts w:cs="Arial"/>
          <w:b w:val="0"/>
          <w:color w:val="auto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Art. 1º</w:t>
      </w:r>
      <w:r>
        <w:rPr>
          <w:rFonts w:cs="Arial"/>
          <w:sz w:val="24"/>
          <w:szCs w:val="24"/>
        </w:rPr>
        <w:t xml:space="preserve">. </w:t>
      </w:r>
      <w:r w:rsidRPr="00485A71">
        <w:rPr>
          <w:rFonts w:cs="Arial"/>
          <w:sz w:val="24"/>
          <w:szCs w:val="24"/>
        </w:rPr>
        <w:t>Fica fixado nest</w:t>
      </w:r>
      <w:r>
        <w:rPr>
          <w:rFonts w:cs="Arial"/>
          <w:sz w:val="24"/>
          <w:szCs w:val="24"/>
        </w:rPr>
        <w:t xml:space="preserve">a Instrução Normativa </w:t>
      </w:r>
      <w:r w:rsidRPr="00485A71">
        <w:rPr>
          <w:rFonts w:cs="Arial"/>
          <w:sz w:val="24"/>
          <w:szCs w:val="24"/>
        </w:rPr>
        <w:t>o procedimento para a promoção das adaptações necessárias à adequação da</w:t>
      </w:r>
      <w:r>
        <w:rPr>
          <w:rFonts w:cs="Arial"/>
          <w:sz w:val="24"/>
          <w:szCs w:val="24"/>
        </w:rPr>
        <w:t>s</w:t>
      </w:r>
      <w:r w:rsidRPr="00485A71">
        <w:rPr>
          <w:rFonts w:cs="Arial"/>
          <w:sz w:val="24"/>
          <w:szCs w:val="24"/>
        </w:rPr>
        <w:t xml:space="preserve"> empresa</w:t>
      </w:r>
      <w:r>
        <w:rPr>
          <w:rFonts w:cs="Arial"/>
          <w:sz w:val="24"/>
          <w:szCs w:val="24"/>
        </w:rPr>
        <w:t>s</w:t>
      </w:r>
      <w:r w:rsidRPr="00485A71">
        <w:rPr>
          <w:rFonts w:cs="Arial"/>
          <w:sz w:val="24"/>
          <w:szCs w:val="24"/>
        </w:rPr>
        <w:t xml:space="preserve"> pública</w:t>
      </w:r>
      <w:r>
        <w:rPr>
          <w:rFonts w:cs="Arial"/>
          <w:sz w:val="24"/>
          <w:szCs w:val="24"/>
        </w:rPr>
        <w:t>s</w:t>
      </w:r>
      <w:r w:rsidRPr="00485A71">
        <w:rPr>
          <w:rFonts w:cs="Arial"/>
          <w:sz w:val="24"/>
          <w:szCs w:val="24"/>
        </w:rPr>
        <w:t xml:space="preserve"> e sociedade</w:t>
      </w:r>
      <w:r>
        <w:rPr>
          <w:rFonts w:cs="Arial"/>
          <w:sz w:val="24"/>
          <w:szCs w:val="24"/>
        </w:rPr>
        <w:t>s</w:t>
      </w:r>
      <w:r w:rsidRPr="00485A71">
        <w:rPr>
          <w:rFonts w:cs="Arial"/>
          <w:sz w:val="24"/>
          <w:szCs w:val="24"/>
        </w:rPr>
        <w:t xml:space="preserve"> de economia mista do Estado ao disposto na </w:t>
      </w:r>
      <w:r>
        <w:rPr>
          <w:rFonts w:cs="Arial"/>
          <w:sz w:val="24"/>
          <w:szCs w:val="24"/>
        </w:rPr>
        <w:t>Lei Federal nº 13.303/2016</w:t>
      </w:r>
      <w:r w:rsidRPr="00485A71">
        <w:rPr>
          <w:rFonts w:cs="Arial"/>
          <w:sz w:val="24"/>
          <w:szCs w:val="24"/>
        </w:rPr>
        <w:t xml:space="preserve"> e no Decreto nº 1.007</w:t>
      </w:r>
      <w:r>
        <w:rPr>
          <w:rFonts w:cs="Arial"/>
          <w:sz w:val="24"/>
          <w:szCs w:val="24"/>
        </w:rPr>
        <w:t>/</w:t>
      </w:r>
      <w:r w:rsidRPr="00485A71">
        <w:rPr>
          <w:rFonts w:cs="Arial"/>
          <w:sz w:val="24"/>
          <w:szCs w:val="24"/>
        </w:rPr>
        <w:t>2016.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pacing w:val="-2"/>
          <w:sz w:val="24"/>
          <w:szCs w:val="24"/>
        </w:rPr>
      </w:pPr>
      <w:r w:rsidRPr="00485A71">
        <w:rPr>
          <w:rFonts w:cs="Arial"/>
          <w:spacing w:val="-2"/>
          <w:sz w:val="24"/>
          <w:szCs w:val="24"/>
        </w:rPr>
        <w:t xml:space="preserve">Art. </w:t>
      </w:r>
      <w:r>
        <w:rPr>
          <w:rFonts w:cs="Arial"/>
          <w:spacing w:val="-2"/>
          <w:sz w:val="24"/>
          <w:szCs w:val="24"/>
        </w:rPr>
        <w:t>2</w:t>
      </w:r>
      <w:r w:rsidRPr="00485A71">
        <w:rPr>
          <w:rFonts w:cs="Arial"/>
          <w:spacing w:val="-2"/>
          <w:sz w:val="24"/>
          <w:szCs w:val="24"/>
        </w:rPr>
        <w:t>º</w:t>
      </w:r>
      <w:r>
        <w:rPr>
          <w:rFonts w:cs="Arial"/>
          <w:spacing w:val="-2"/>
          <w:sz w:val="24"/>
          <w:szCs w:val="24"/>
        </w:rPr>
        <w:t>.</w:t>
      </w:r>
      <w:r w:rsidRPr="00485A71">
        <w:rPr>
          <w:rFonts w:cs="Arial"/>
          <w:spacing w:val="-2"/>
          <w:sz w:val="24"/>
          <w:szCs w:val="24"/>
        </w:rPr>
        <w:t xml:space="preserve"> Ficam submetidas às disposições dest</w:t>
      </w:r>
      <w:r>
        <w:rPr>
          <w:rFonts w:cs="Arial"/>
          <w:spacing w:val="-2"/>
          <w:sz w:val="24"/>
          <w:szCs w:val="24"/>
        </w:rPr>
        <w:t>a Instrução Normativa</w:t>
      </w:r>
      <w:r w:rsidRPr="00485A71">
        <w:rPr>
          <w:rFonts w:cs="Arial"/>
          <w:spacing w:val="-2"/>
          <w:sz w:val="24"/>
          <w:szCs w:val="24"/>
        </w:rPr>
        <w:t xml:space="preserve"> todas as empresas públicas e sociedades de economia mista do Estado de que tratam o art. 1º da </w:t>
      </w:r>
      <w:r>
        <w:rPr>
          <w:rFonts w:cs="Arial"/>
          <w:spacing w:val="-2"/>
          <w:sz w:val="24"/>
          <w:szCs w:val="24"/>
        </w:rPr>
        <w:t>Lei Federal nº 13.303/2016</w:t>
      </w:r>
      <w:r w:rsidRPr="00485A71">
        <w:rPr>
          <w:rFonts w:cs="Arial"/>
          <w:spacing w:val="-2"/>
          <w:sz w:val="24"/>
          <w:szCs w:val="24"/>
        </w:rPr>
        <w:t xml:space="preserve"> e o art. 1º do Decreto nº 1.007</w:t>
      </w:r>
      <w:r>
        <w:rPr>
          <w:rFonts w:cs="Arial"/>
          <w:spacing w:val="-2"/>
          <w:sz w:val="24"/>
          <w:szCs w:val="24"/>
        </w:rPr>
        <w:t>/</w:t>
      </w:r>
      <w:r w:rsidRPr="00485A71">
        <w:rPr>
          <w:rFonts w:cs="Arial"/>
          <w:spacing w:val="-2"/>
          <w:sz w:val="24"/>
          <w:szCs w:val="24"/>
        </w:rPr>
        <w:t>2016.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pacing w:val="-2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 xml:space="preserve">Art. </w:t>
      </w:r>
      <w:r>
        <w:rPr>
          <w:rFonts w:cs="Arial"/>
          <w:sz w:val="24"/>
          <w:szCs w:val="24"/>
        </w:rPr>
        <w:t>3</w:t>
      </w:r>
      <w:r w:rsidRPr="00485A71">
        <w:rPr>
          <w:rFonts w:cs="Arial"/>
          <w:sz w:val="24"/>
          <w:szCs w:val="24"/>
        </w:rPr>
        <w:t>º</w:t>
      </w:r>
      <w:r>
        <w:rPr>
          <w:rFonts w:cs="Arial"/>
          <w:sz w:val="24"/>
          <w:szCs w:val="24"/>
        </w:rPr>
        <w:t>.</w:t>
      </w:r>
      <w:r w:rsidRPr="00485A71">
        <w:rPr>
          <w:rFonts w:cs="Arial"/>
          <w:sz w:val="24"/>
          <w:szCs w:val="24"/>
        </w:rPr>
        <w:t xml:space="preserve"> Para </w:t>
      </w:r>
      <w:r>
        <w:rPr>
          <w:rFonts w:cs="Arial"/>
          <w:sz w:val="24"/>
          <w:szCs w:val="24"/>
        </w:rPr>
        <w:t xml:space="preserve">os </w:t>
      </w:r>
      <w:r w:rsidRPr="00485A71">
        <w:rPr>
          <w:rFonts w:cs="Arial"/>
          <w:sz w:val="24"/>
          <w:szCs w:val="24"/>
        </w:rPr>
        <w:t>fins dest</w:t>
      </w:r>
      <w:r>
        <w:rPr>
          <w:rFonts w:cs="Arial"/>
          <w:sz w:val="24"/>
          <w:szCs w:val="24"/>
        </w:rPr>
        <w:t>a Instrução Normativa</w:t>
      </w:r>
      <w:r w:rsidRPr="00485A71">
        <w:rPr>
          <w:rFonts w:cs="Arial"/>
          <w:sz w:val="24"/>
          <w:szCs w:val="24"/>
        </w:rPr>
        <w:t xml:space="preserve"> serão doravante denominada</w:t>
      </w:r>
      <w:r>
        <w:rPr>
          <w:rFonts w:cs="Arial"/>
          <w:sz w:val="24"/>
          <w:szCs w:val="24"/>
        </w:rPr>
        <w:t>s</w:t>
      </w:r>
      <w:r w:rsidRPr="00485A71">
        <w:rPr>
          <w:rFonts w:cs="Arial"/>
          <w:sz w:val="24"/>
          <w:szCs w:val="24"/>
        </w:rPr>
        <w:t xml:space="preserve"> de empresa estatal as empresas públicas e sociedades de economia mista do Estado de Santa Catarina.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1509F3" w:rsidRDefault="00403F58" w:rsidP="00403F58">
      <w:pPr>
        <w:pStyle w:val="Cabealho"/>
        <w:tabs>
          <w:tab w:val="left" w:pos="708"/>
        </w:tabs>
        <w:jc w:val="center"/>
        <w:rPr>
          <w:rFonts w:cs="Arial"/>
          <w:b/>
          <w:sz w:val="24"/>
          <w:szCs w:val="24"/>
        </w:rPr>
      </w:pPr>
      <w:r w:rsidRPr="001509F3">
        <w:rPr>
          <w:rFonts w:cs="Arial"/>
          <w:b/>
          <w:sz w:val="24"/>
          <w:szCs w:val="24"/>
        </w:rPr>
        <w:t>CAPÍTULO II</w:t>
      </w:r>
    </w:p>
    <w:p w:rsidR="00403F58" w:rsidRPr="001509F3" w:rsidRDefault="00403F58" w:rsidP="00403F58">
      <w:pPr>
        <w:pStyle w:val="Cabealho"/>
        <w:tabs>
          <w:tab w:val="left" w:pos="708"/>
        </w:tabs>
        <w:jc w:val="center"/>
        <w:rPr>
          <w:rFonts w:cs="Arial"/>
          <w:b/>
          <w:sz w:val="24"/>
          <w:szCs w:val="24"/>
        </w:rPr>
      </w:pPr>
      <w:r w:rsidRPr="001509F3">
        <w:rPr>
          <w:rFonts w:cs="Arial"/>
          <w:b/>
          <w:sz w:val="24"/>
          <w:szCs w:val="24"/>
        </w:rPr>
        <w:t xml:space="preserve">DOS MODELOS DE REFERÊNCIA </w:t>
      </w:r>
    </w:p>
    <w:p w:rsidR="00403F58" w:rsidRPr="001509F3" w:rsidRDefault="00403F58" w:rsidP="00403F58">
      <w:pPr>
        <w:pStyle w:val="Cabealho"/>
        <w:tabs>
          <w:tab w:val="left" w:pos="708"/>
        </w:tabs>
        <w:jc w:val="center"/>
        <w:rPr>
          <w:rFonts w:cs="Arial"/>
          <w:b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 xml:space="preserve">Art. </w:t>
      </w:r>
      <w:r>
        <w:rPr>
          <w:rFonts w:cs="Arial"/>
          <w:sz w:val="24"/>
          <w:szCs w:val="24"/>
        </w:rPr>
        <w:t>4</w:t>
      </w:r>
      <w:r w:rsidRPr="00485A71">
        <w:rPr>
          <w:rFonts w:cs="Arial"/>
          <w:sz w:val="24"/>
          <w:szCs w:val="24"/>
        </w:rPr>
        <w:t>º</w:t>
      </w:r>
      <w:r>
        <w:rPr>
          <w:rFonts w:cs="Arial"/>
          <w:sz w:val="24"/>
          <w:szCs w:val="24"/>
        </w:rPr>
        <w:t>.</w:t>
      </w:r>
      <w:r w:rsidRPr="00485A7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Ficam instituídos os seguintes modelos de referência, os quais constituem Anexos desta Instrução Normativa: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 - Estatuto Social para empresas estatais de pequeno porte;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II - Estatuto Social para empresas estatais de grande </w:t>
      </w:r>
      <w:r>
        <w:rPr>
          <w:rFonts w:cs="Arial"/>
          <w:sz w:val="24"/>
          <w:szCs w:val="24"/>
        </w:rPr>
        <w:lastRenderedPageBreak/>
        <w:t>porte;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III - Carta Anual de Políticas Públicas;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IV - Carta Anual de Governança Corporativa;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 - Política de Divulgação de Informações;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 - Política de Distribuição de Dividendos;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VII - Política de Transação com Partes Relacionadas;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VIII - Relatório de Sustentabilidade;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IX - Divulgação da Remuneração dos Administradores;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 - Política de Porta-Vozes;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XI - Estratégia de Longo Prazo;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XII - Contrato de Gestão e Resultados;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XIII - Plano de Negócio Anual;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XIV - Boas Práticas de Controle Interno, Gestão de Riscos e </w:t>
      </w:r>
      <w:r w:rsidRPr="00E62CF7">
        <w:rPr>
          <w:rFonts w:cs="Arial"/>
          <w:i/>
          <w:sz w:val="24"/>
          <w:szCs w:val="24"/>
        </w:rPr>
        <w:t>Compliance</w:t>
      </w:r>
      <w:r>
        <w:rPr>
          <w:rFonts w:cs="Arial"/>
          <w:i/>
          <w:sz w:val="24"/>
          <w:szCs w:val="24"/>
        </w:rPr>
        <w:t>;</w:t>
      </w:r>
    </w:p>
    <w:p w:rsidR="00403F58" w:rsidRPr="00E62CF7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XV - Auditoria Interna;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XVI - Regimento Interno do Comitê de Auditoria Estatutário;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XVII - Regimento Interno do Comitê de Elegibilidade;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XVIII - Código de Conduta e Integridade;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XIX - Normas de Governança para Participações Societárias sem Controle Acionário;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XX - </w:t>
      </w:r>
      <w:r w:rsidRPr="00CF7722">
        <w:rPr>
          <w:rFonts w:cs="Arial"/>
          <w:sz w:val="24"/>
          <w:szCs w:val="24"/>
        </w:rPr>
        <w:t>Ma</w:t>
      </w:r>
      <w:r>
        <w:rPr>
          <w:rFonts w:cs="Arial"/>
          <w:sz w:val="24"/>
          <w:szCs w:val="24"/>
        </w:rPr>
        <w:t>nual de Procedimentos Contábeis;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XXI - Regulamento de Licitações e Contratos;</w:t>
      </w:r>
    </w:p>
    <w:p w:rsidR="00403F58" w:rsidRPr="00770956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XXII - </w:t>
      </w:r>
      <w:r w:rsidRPr="00770956">
        <w:rPr>
          <w:rFonts w:cs="Arial"/>
          <w:sz w:val="24"/>
          <w:szCs w:val="24"/>
        </w:rPr>
        <w:t>Padronização dos Portais de Transparência;</w:t>
      </w:r>
    </w:p>
    <w:p w:rsidR="00403F58" w:rsidRPr="00770956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XXIII - </w:t>
      </w:r>
      <w:r w:rsidRPr="00770956">
        <w:rPr>
          <w:rFonts w:cs="Arial"/>
          <w:sz w:val="24"/>
          <w:szCs w:val="24"/>
        </w:rPr>
        <w:t xml:space="preserve">Controle </w:t>
      </w:r>
      <w:r>
        <w:rPr>
          <w:rFonts w:cs="Arial"/>
          <w:sz w:val="24"/>
          <w:szCs w:val="24"/>
        </w:rPr>
        <w:t>e Fiscalização relativos à Cumulação Remunerada de Membros de Órgãos Colegiados;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§1º</w:t>
      </w:r>
      <w:r w:rsidRPr="00A556B1">
        <w:rPr>
          <w:rFonts w:cs="Arial"/>
          <w:sz w:val="24"/>
          <w:szCs w:val="24"/>
        </w:rPr>
        <w:t xml:space="preserve"> </w:t>
      </w:r>
      <w:r w:rsidRPr="00DD522A">
        <w:rPr>
          <w:rFonts w:cs="Arial"/>
          <w:sz w:val="24"/>
          <w:szCs w:val="24"/>
        </w:rPr>
        <w:t xml:space="preserve">Os modelos de referência </w:t>
      </w:r>
      <w:r w:rsidRPr="00A556B1">
        <w:rPr>
          <w:rFonts w:cs="Arial"/>
          <w:sz w:val="24"/>
          <w:szCs w:val="24"/>
        </w:rPr>
        <w:t xml:space="preserve">estarão disponibilizados </w:t>
      </w:r>
      <w:r w:rsidRPr="00DD522A">
        <w:rPr>
          <w:rFonts w:cs="Arial"/>
          <w:sz w:val="24"/>
          <w:szCs w:val="24"/>
        </w:rPr>
        <w:t xml:space="preserve">no </w:t>
      </w:r>
      <w:r w:rsidRPr="00DD522A">
        <w:rPr>
          <w:rFonts w:cs="Arial"/>
          <w:sz w:val="24"/>
          <w:szCs w:val="24"/>
        </w:rPr>
        <w:lastRenderedPageBreak/>
        <w:t>endereço eletrônico www.sef.sc.gov.br, em Serviços e Orientações</w:t>
      </w:r>
      <w:r w:rsidRPr="00A556B1">
        <w:rPr>
          <w:rFonts w:cs="Arial"/>
          <w:sz w:val="24"/>
          <w:szCs w:val="24"/>
        </w:rPr>
        <w:t>.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§2º O modelo de avaliação de desempenho dos administradores e membros de comitês, nos termos do inciso III do art. 13 da Lei Federal nº 13.303/2016, deve ser desenvolvido pelas empresas estatais, conforme disciplina Decreto nº 1.484/2018.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Art. 5º. A Assembleia Geral </w:t>
      </w:r>
      <w:r w:rsidRPr="00485A71">
        <w:rPr>
          <w:rFonts w:cs="Arial"/>
          <w:sz w:val="24"/>
          <w:szCs w:val="24"/>
        </w:rPr>
        <w:t>da empresa estatal, em atendimento ao art</w:t>
      </w:r>
      <w:r>
        <w:rPr>
          <w:rFonts w:cs="Arial"/>
          <w:sz w:val="24"/>
          <w:szCs w:val="24"/>
        </w:rPr>
        <w:t>.</w:t>
      </w:r>
      <w:r w:rsidRPr="00485A71">
        <w:rPr>
          <w:rFonts w:cs="Arial"/>
          <w:sz w:val="24"/>
          <w:szCs w:val="24"/>
        </w:rPr>
        <w:t xml:space="preserve"> 6º da </w:t>
      </w:r>
      <w:r>
        <w:rPr>
          <w:rFonts w:cs="Arial"/>
          <w:sz w:val="24"/>
          <w:szCs w:val="24"/>
        </w:rPr>
        <w:t>Lei Federal nº 13.303/2016</w:t>
      </w:r>
      <w:r w:rsidRPr="00485A71">
        <w:rPr>
          <w:rFonts w:cs="Arial"/>
          <w:sz w:val="24"/>
          <w:szCs w:val="24"/>
        </w:rPr>
        <w:t>, deve</w:t>
      </w:r>
      <w:r>
        <w:rPr>
          <w:rFonts w:cs="Arial"/>
          <w:sz w:val="24"/>
          <w:szCs w:val="24"/>
        </w:rPr>
        <w:t>rá</w:t>
      </w:r>
      <w:r w:rsidRPr="00485A71">
        <w:rPr>
          <w:rFonts w:cs="Arial"/>
          <w:sz w:val="24"/>
          <w:szCs w:val="24"/>
        </w:rPr>
        <w:t xml:space="preserve"> adaptar </w:t>
      </w:r>
      <w:r>
        <w:rPr>
          <w:rFonts w:cs="Arial"/>
          <w:sz w:val="24"/>
          <w:szCs w:val="24"/>
        </w:rPr>
        <w:t xml:space="preserve">o </w:t>
      </w:r>
      <w:r w:rsidRPr="00485A71">
        <w:rPr>
          <w:rFonts w:cs="Arial"/>
          <w:sz w:val="24"/>
          <w:szCs w:val="24"/>
        </w:rPr>
        <w:t>seu estatuto</w:t>
      </w:r>
      <w:r>
        <w:rPr>
          <w:rFonts w:cs="Arial"/>
          <w:sz w:val="24"/>
          <w:szCs w:val="24"/>
        </w:rPr>
        <w:t xml:space="preserve"> social, incluindo</w:t>
      </w:r>
      <w:r w:rsidRPr="00485A71">
        <w:rPr>
          <w:rFonts w:cs="Arial"/>
          <w:sz w:val="24"/>
          <w:szCs w:val="24"/>
        </w:rPr>
        <w:t xml:space="preserve"> as regras de governança corporativa, de transparência</w:t>
      </w:r>
      <w:r>
        <w:rPr>
          <w:rFonts w:cs="Arial"/>
          <w:sz w:val="24"/>
          <w:szCs w:val="24"/>
        </w:rPr>
        <w:t xml:space="preserve">, </w:t>
      </w:r>
      <w:r w:rsidRPr="00485A71">
        <w:rPr>
          <w:rFonts w:cs="Arial"/>
          <w:sz w:val="24"/>
          <w:szCs w:val="24"/>
        </w:rPr>
        <w:t>de estruturas</w:t>
      </w:r>
      <w:r>
        <w:rPr>
          <w:rFonts w:cs="Arial"/>
          <w:sz w:val="24"/>
          <w:szCs w:val="24"/>
        </w:rPr>
        <w:t xml:space="preserve"> e </w:t>
      </w:r>
      <w:r w:rsidRPr="00485A71">
        <w:rPr>
          <w:rFonts w:cs="Arial"/>
          <w:sz w:val="24"/>
          <w:szCs w:val="24"/>
        </w:rPr>
        <w:t>práticas de gestão de riscos e de controle interno,</w:t>
      </w:r>
      <w:r>
        <w:rPr>
          <w:rFonts w:cs="Arial"/>
          <w:sz w:val="24"/>
          <w:szCs w:val="24"/>
        </w:rPr>
        <w:t xml:space="preserve"> </w:t>
      </w:r>
      <w:r w:rsidRPr="00485A71">
        <w:rPr>
          <w:rFonts w:cs="Arial"/>
          <w:sz w:val="24"/>
          <w:szCs w:val="24"/>
        </w:rPr>
        <w:t>composição da administração e, havendo acionistas, mecanismos para sua proteção</w:t>
      </w:r>
      <w:r>
        <w:rPr>
          <w:rFonts w:cs="Arial"/>
          <w:sz w:val="24"/>
          <w:szCs w:val="24"/>
        </w:rPr>
        <w:t>.</w:t>
      </w:r>
      <w:r w:rsidRPr="00485A71" w:rsidDel="008B2CD2">
        <w:rPr>
          <w:rFonts w:cs="Arial"/>
          <w:sz w:val="24"/>
          <w:szCs w:val="24"/>
        </w:rPr>
        <w:t xml:space="preserve"> 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§1º Os modelos de estatuto</w:t>
      </w:r>
      <w:r>
        <w:rPr>
          <w:rFonts w:cs="Arial"/>
          <w:sz w:val="24"/>
          <w:szCs w:val="24"/>
        </w:rPr>
        <w:t xml:space="preserve"> social</w:t>
      </w:r>
      <w:r w:rsidRPr="00485A71">
        <w:rPr>
          <w:rFonts w:cs="Arial"/>
          <w:sz w:val="24"/>
          <w:szCs w:val="24"/>
        </w:rPr>
        <w:t xml:space="preserve"> que servem de referência à empresa estatal</w:t>
      </w:r>
      <w:r>
        <w:rPr>
          <w:rFonts w:cs="Arial"/>
          <w:sz w:val="24"/>
          <w:szCs w:val="24"/>
        </w:rPr>
        <w:t xml:space="preserve"> se encontram</w:t>
      </w:r>
      <w:r w:rsidRPr="00485A71">
        <w:rPr>
          <w:rFonts w:cs="Arial"/>
          <w:sz w:val="24"/>
          <w:szCs w:val="24"/>
        </w:rPr>
        <w:t xml:space="preserve"> </w:t>
      </w:r>
      <w:r w:rsidRPr="006327CE">
        <w:rPr>
          <w:rFonts w:cs="Arial"/>
          <w:sz w:val="24"/>
          <w:szCs w:val="24"/>
        </w:rPr>
        <w:t>no</w:t>
      </w:r>
      <w:r>
        <w:rPr>
          <w:rFonts w:cs="Arial"/>
          <w:sz w:val="24"/>
          <w:szCs w:val="24"/>
        </w:rPr>
        <w:t>s</w:t>
      </w:r>
      <w:r w:rsidRPr="006327CE">
        <w:rPr>
          <w:rFonts w:cs="Arial"/>
          <w:sz w:val="24"/>
          <w:szCs w:val="24"/>
        </w:rPr>
        <w:t xml:space="preserve"> </w:t>
      </w:r>
      <w:r w:rsidRPr="00AE1B85">
        <w:rPr>
          <w:rFonts w:cs="Arial"/>
          <w:sz w:val="24"/>
          <w:szCs w:val="24"/>
        </w:rPr>
        <w:t>Anexo</w:t>
      </w:r>
      <w:r>
        <w:rPr>
          <w:rFonts w:cs="Arial"/>
          <w:sz w:val="24"/>
          <w:szCs w:val="24"/>
        </w:rPr>
        <w:t>s</w:t>
      </w:r>
      <w:r w:rsidRPr="00AE1B85">
        <w:rPr>
          <w:rFonts w:cs="Arial"/>
          <w:sz w:val="24"/>
          <w:szCs w:val="24"/>
        </w:rPr>
        <w:t xml:space="preserve"> I</w:t>
      </w:r>
      <w:r>
        <w:rPr>
          <w:rFonts w:cs="Arial"/>
          <w:sz w:val="24"/>
          <w:szCs w:val="24"/>
        </w:rPr>
        <w:t xml:space="preserve"> e II</w:t>
      </w:r>
      <w:r w:rsidRPr="006327CE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cuja utilização</w:t>
      </w:r>
      <w:r w:rsidRPr="00485A71">
        <w:rPr>
          <w:rFonts w:cs="Arial"/>
          <w:sz w:val="24"/>
          <w:szCs w:val="24"/>
        </w:rPr>
        <w:t xml:space="preserve"> dependerá da </w:t>
      </w:r>
      <w:r>
        <w:rPr>
          <w:rFonts w:cs="Arial"/>
          <w:sz w:val="24"/>
          <w:szCs w:val="24"/>
        </w:rPr>
        <w:t>verificação da r</w:t>
      </w:r>
      <w:r w:rsidRPr="00485A71">
        <w:rPr>
          <w:rFonts w:cs="Arial"/>
          <w:sz w:val="24"/>
          <w:szCs w:val="24"/>
        </w:rPr>
        <w:t xml:space="preserve">eceita </w:t>
      </w:r>
      <w:r>
        <w:rPr>
          <w:rFonts w:cs="Arial"/>
          <w:sz w:val="24"/>
          <w:szCs w:val="24"/>
        </w:rPr>
        <w:t>o</w:t>
      </w:r>
      <w:r w:rsidRPr="00485A71">
        <w:rPr>
          <w:rFonts w:cs="Arial"/>
          <w:sz w:val="24"/>
          <w:szCs w:val="24"/>
        </w:rPr>
        <w:t xml:space="preserve">peracional </w:t>
      </w:r>
      <w:r>
        <w:rPr>
          <w:rFonts w:cs="Arial"/>
          <w:sz w:val="24"/>
          <w:szCs w:val="24"/>
        </w:rPr>
        <w:t>b</w:t>
      </w:r>
      <w:r w:rsidRPr="00485A71">
        <w:rPr>
          <w:rFonts w:cs="Arial"/>
          <w:sz w:val="24"/>
          <w:szCs w:val="24"/>
        </w:rPr>
        <w:t>ruta de cada empresa estatal.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 xml:space="preserve">Art. </w:t>
      </w:r>
      <w:r>
        <w:rPr>
          <w:rFonts w:cs="Arial"/>
          <w:sz w:val="24"/>
          <w:szCs w:val="24"/>
        </w:rPr>
        <w:t>6</w:t>
      </w:r>
      <w:r w:rsidRPr="00485A71">
        <w:rPr>
          <w:rFonts w:cs="Arial"/>
          <w:sz w:val="24"/>
          <w:szCs w:val="24"/>
        </w:rPr>
        <w:t>º</w:t>
      </w:r>
      <w:r>
        <w:rPr>
          <w:rFonts w:cs="Arial"/>
          <w:sz w:val="24"/>
          <w:szCs w:val="24"/>
        </w:rPr>
        <w:t>.</w:t>
      </w:r>
      <w:r w:rsidRPr="00485A71">
        <w:rPr>
          <w:rFonts w:cs="Arial"/>
          <w:sz w:val="24"/>
          <w:szCs w:val="24"/>
        </w:rPr>
        <w:t xml:space="preserve"> O Conselho de Administração da empresa estatal, em atendimento ao art</w:t>
      </w:r>
      <w:r>
        <w:rPr>
          <w:rFonts w:cs="Arial"/>
          <w:sz w:val="24"/>
          <w:szCs w:val="24"/>
        </w:rPr>
        <w:t>.</w:t>
      </w:r>
      <w:r w:rsidRPr="00485A71">
        <w:rPr>
          <w:rFonts w:cs="Arial"/>
          <w:sz w:val="24"/>
          <w:szCs w:val="24"/>
        </w:rPr>
        <w:t xml:space="preserve"> 8º da Lei </w:t>
      </w:r>
      <w:r>
        <w:rPr>
          <w:rFonts w:cs="Arial"/>
          <w:sz w:val="24"/>
          <w:szCs w:val="24"/>
        </w:rPr>
        <w:t>F</w:t>
      </w:r>
      <w:r w:rsidRPr="00485A71">
        <w:rPr>
          <w:rFonts w:cs="Arial"/>
          <w:sz w:val="24"/>
          <w:szCs w:val="24"/>
        </w:rPr>
        <w:t xml:space="preserve">ederal </w:t>
      </w:r>
      <w:r>
        <w:rPr>
          <w:rFonts w:cs="Arial"/>
          <w:sz w:val="24"/>
          <w:szCs w:val="24"/>
        </w:rPr>
        <w:t xml:space="preserve">nº </w:t>
      </w:r>
      <w:r w:rsidRPr="00485A71">
        <w:rPr>
          <w:rFonts w:cs="Arial"/>
          <w:sz w:val="24"/>
          <w:szCs w:val="24"/>
        </w:rPr>
        <w:t>13.303</w:t>
      </w:r>
      <w:r>
        <w:rPr>
          <w:rFonts w:cs="Arial"/>
          <w:sz w:val="24"/>
          <w:szCs w:val="24"/>
        </w:rPr>
        <w:t>/20</w:t>
      </w:r>
      <w:r w:rsidRPr="00485A71">
        <w:rPr>
          <w:rFonts w:cs="Arial"/>
          <w:sz w:val="24"/>
          <w:szCs w:val="24"/>
        </w:rPr>
        <w:t>16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deve</w:t>
      </w:r>
      <w:r>
        <w:rPr>
          <w:rFonts w:cs="Arial"/>
          <w:sz w:val="24"/>
          <w:szCs w:val="24"/>
        </w:rPr>
        <w:t>rá</w:t>
      </w:r>
      <w:r w:rsidRPr="00485A71">
        <w:rPr>
          <w:rFonts w:cs="Arial"/>
          <w:sz w:val="24"/>
          <w:szCs w:val="24"/>
        </w:rPr>
        <w:t xml:space="preserve"> aprovar os </w:t>
      </w:r>
      <w:r>
        <w:rPr>
          <w:rFonts w:cs="Arial"/>
          <w:sz w:val="24"/>
          <w:szCs w:val="24"/>
        </w:rPr>
        <w:t xml:space="preserve">seguintes </w:t>
      </w:r>
      <w:r w:rsidRPr="00485A71">
        <w:rPr>
          <w:rFonts w:cs="Arial"/>
          <w:sz w:val="24"/>
          <w:szCs w:val="24"/>
        </w:rPr>
        <w:t>requisitos</w:t>
      </w:r>
      <w:r>
        <w:rPr>
          <w:rFonts w:cs="Arial"/>
          <w:sz w:val="24"/>
          <w:szCs w:val="24"/>
        </w:rPr>
        <w:t xml:space="preserve"> de transparência: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t>I</w:t>
      </w:r>
      <w:r>
        <w:rPr>
          <w:rFonts w:cs="Arial"/>
          <w:sz w:val="24"/>
          <w:szCs w:val="24"/>
        </w:rPr>
        <w:t xml:space="preserve"> -</w:t>
      </w:r>
      <w:r w:rsidRPr="00DD522A">
        <w:rPr>
          <w:rFonts w:cs="Arial"/>
          <w:sz w:val="24"/>
          <w:szCs w:val="24"/>
        </w:rPr>
        <w:t xml:space="preserve"> Carta Anual de Políticas Públicas;</w:t>
      </w: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t>II</w:t>
      </w:r>
      <w:r>
        <w:rPr>
          <w:rFonts w:cs="Arial"/>
          <w:sz w:val="24"/>
          <w:szCs w:val="24"/>
        </w:rPr>
        <w:t xml:space="preserve"> -</w:t>
      </w:r>
      <w:r w:rsidRPr="00DD522A">
        <w:rPr>
          <w:rFonts w:cs="Arial"/>
          <w:sz w:val="24"/>
          <w:szCs w:val="24"/>
        </w:rPr>
        <w:t xml:space="preserve"> Carta Anual de Governança Corporativa;</w:t>
      </w: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t>III</w:t>
      </w:r>
      <w:r>
        <w:rPr>
          <w:rFonts w:cs="Arial"/>
          <w:sz w:val="24"/>
          <w:szCs w:val="24"/>
        </w:rPr>
        <w:t xml:space="preserve"> -</w:t>
      </w:r>
      <w:r w:rsidRPr="00DD522A">
        <w:rPr>
          <w:rFonts w:cs="Arial"/>
          <w:sz w:val="24"/>
          <w:szCs w:val="24"/>
        </w:rPr>
        <w:t xml:space="preserve"> Política de Divulgação de Informações;</w:t>
      </w: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t>IV</w:t>
      </w:r>
      <w:r>
        <w:rPr>
          <w:rFonts w:cs="Arial"/>
          <w:sz w:val="24"/>
          <w:szCs w:val="24"/>
        </w:rPr>
        <w:t xml:space="preserve"> -</w:t>
      </w:r>
      <w:r w:rsidRPr="00DD522A">
        <w:rPr>
          <w:rFonts w:cs="Arial"/>
          <w:sz w:val="24"/>
          <w:szCs w:val="24"/>
        </w:rPr>
        <w:t xml:space="preserve"> Política de Distribuição de Dividendos ou de Juros Sobre Capital Próprio;</w:t>
      </w: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t>V</w:t>
      </w:r>
      <w:r>
        <w:rPr>
          <w:rFonts w:cs="Arial"/>
          <w:sz w:val="24"/>
          <w:szCs w:val="24"/>
        </w:rPr>
        <w:t xml:space="preserve"> -</w:t>
      </w:r>
      <w:r w:rsidRPr="00DD522A">
        <w:rPr>
          <w:rFonts w:cs="Arial"/>
          <w:sz w:val="24"/>
          <w:szCs w:val="24"/>
        </w:rPr>
        <w:t xml:space="preserve"> Política de Transações com Partes Relacionadas;</w:t>
      </w: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t>VI</w:t>
      </w:r>
      <w:r>
        <w:rPr>
          <w:rFonts w:cs="Arial"/>
          <w:sz w:val="24"/>
          <w:szCs w:val="24"/>
        </w:rPr>
        <w:t xml:space="preserve"> -</w:t>
      </w:r>
      <w:r w:rsidRPr="00DD522A">
        <w:rPr>
          <w:rFonts w:cs="Arial"/>
          <w:sz w:val="24"/>
          <w:szCs w:val="24"/>
        </w:rPr>
        <w:t xml:space="preserve"> Relatório de Sustentabilidade.</w:t>
      </w: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t xml:space="preserve">§1º A Carta Anual de Políticas Públicas tem como objetivo explicitar o interesse público subjacente às atividades empresariais, as atividades a serem desenvolvidas pela empresa estatal em atendimento às políticas públicas e os impactos econômico-financeiros decorrentes da operacionalização das políticas públicas, em alinhamento com a estratégia de longo prazo e plano de negócios, cujo </w:t>
      </w:r>
      <w:r w:rsidRPr="000E12B3">
        <w:rPr>
          <w:rFonts w:cs="Arial"/>
          <w:sz w:val="24"/>
          <w:szCs w:val="24"/>
        </w:rPr>
        <w:t xml:space="preserve">modelo de referência </w:t>
      </w:r>
      <w:r w:rsidRPr="00DD522A">
        <w:rPr>
          <w:rFonts w:cs="Arial"/>
          <w:sz w:val="24"/>
          <w:szCs w:val="24"/>
        </w:rPr>
        <w:t>se encontra no Anexo III.</w:t>
      </w: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t>§2º A Carta Anual de Governança Corporativa tem como objetivo explicitar as principais atividades desenvolvidas pela empresa estatal; as boas práticas de controle interno e de gestão de riscos; a apresentação da análise do cumprimento das metas empresariais do exercício anterior, como resultado do plano de negócios da estatal; as políticas e práticas de governança corporativa; e a descrição da composição e da remuneração da administração, cujo modelo de referência se encontra no Anexo IV.</w:t>
      </w: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lastRenderedPageBreak/>
        <w:t>§3º A empresa estatal de capital aberto pode considerar, em substituição à Carta Anual de Governança Corporativa, o Formulário de Referência, que anualmente é divulgado seguindo o modelo da Comissão de Valores Mobiliários – CVM, nos termos da Instrução CVM n</w:t>
      </w:r>
      <w:r>
        <w:rPr>
          <w:rFonts w:cs="Arial"/>
          <w:sz w:val="24"/>
          <w:szCs w:val="24"/>
        </w:rPr>
        <w:t>º</w:t>
      </w:r>
      <w:r w:rsidRPr="00DD522A">
        <w:rPr>
          <w:rFonts w:cs="Arial"/>
          <w:sz w:val="24"/>
          <w:szCs w:val="24"/>
        </w:rPr>
        <w:t xml:space="preserve"> 480</w:t>
      </w:r>
      <w:r>
        <w:rPr>
          <w:rFonts w:cs="Arial"/>
          <w:sz w:val="24"/>
          <w:szCs w:val="24"/>
        </w:rPr>
        <w:t>/</w:t>
      </w:r>
      <w:r w:rsidRPr="00DD522A">
        <w:rPr>
          <w:rFonts w:cs="Arial"/>
          <w:sz w:val="24"/>
          <w:szCs w:val="24"/>
        </w:rPr>
        <w:t xml:space="preserve">2009, desde que informe os itens de seu Formulário de Referência nos quais podem ser consultadas as informações requeridas pelo inciso III do art. 8º da Lei </w:t>
      </w:r>
      <w:r>
        <w:rPr>
          <w:rFonts w:cs="Arial"/>
          <w:sz w:val="24"/>
          <w:szCs w:val="24"/>
        </w:rPr>
        <w:t xml:space="preserve">Federal nº </w:t>
      </w:r>
      <w:r w:rsidRPr="00DD522A">
        <w:rPr>
          <w:rFonts w:cs="Arial"/>
          <w:sz w:val="24"/>
          <w:szCs w:val="24"/>
        </w:rPr>
        <w:t>13.303</w:t>
      </w:r>
      <w:r>
        <w:rPr>
          <w:rFonts w:cs="Arial"/>
          <w:sz w:val="24"/>
          <w:szCs w:val="24"/>
        </w:rPr>
        <w:t>/</w:t>
      </w:r>
      <w:r w:rsidRPr="00DD522A">
        <w:rPr>
          <w:rFonts w:cs="Arial"/>
          <w:sz w:val="24"/>
          <w:szCs w:val="24"/>
        </w:rPr>
        <w:t>2016.</w:t>
      </w: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t xml:space="preserve">§4º A empresa estatal deve pautar sua Política de Divulgação de Informações em conformidade com a legislação em vigor e com as melhores práticas, observado o modelo de referência constante do Anexo V. </w:t>
      </w: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t xml:space="preserve">§5º A Política de Distribuição de Dividendos ou de Juros Sobre Capital Próprio tem como objetivo </w:t>
      </w:r>
      <w:r w:rsidR="00850B42">
        <w:rPr>
          <w:rFonts w:cs="Arial"/>
          <w:sz w:val="24"/>
          <w:szCs w:val="24"/>
        </w:rPr>
        <w:t xml:space="preserve">estabelecer as práticas de destinação do lucro líquido da empresa, </w:t>
      </w:r>
      <w:r w:rsidRPr="00DD522A">
        <w:rPr>
          <w:rFonts w:cs="Arial"/>
          <w:sz w:val="24"/>
          <w:szCs w:val="24"/>
        </w:rPr>
        <w:t>conforme modelo de referência que se encontra no Anexo VI.</w:t>
      </w: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t>§6º Na Política de Transações com Partes Relacionadas a empresa estatal deve estabelecer regras de modo a assegurar a competitividade, conformidade, transparência, equidade e comutatividade, alinhando os interesses às melhores práticas de governança corporativa, conforme modelo de referência que se encontra no Anexo VII.</w:t>
      </w: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t>§7º A empresa estatal deve elaborar Relatório de Sustentabilidade, conforme o modelo de referência que se encontra no Anexo VIII.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 xml:space="preserve">Art. </w:t>
      </w:r>
      <w:r>
        <w:rPr>
          <w:rFonts w:cs="Arial"/>
          <w:sz w:val="24"/>
          <w:szCs w:val="24"/>
        </w:rPr>
        <w:t>7</w:t>
      </w:r>
      <w:r w:rsidRPr="00485A71">
        <w:rPr>
          <w:rFonts w:cs="Arial"/>
          <w:sz w:val="24"/>
          <w:szCs w:val="24"/>
        </w:rPr>
        <w:t>º</w:t>
      </w:r>
      <w:r>
        <w:rPr>
          <w:rFonts w:cs="Arial"/>
          <w:sz w:val="24"/>
          <w:szCs w:val="24"/>
        </w:rPr>
        <w:t>.</w:t>
      </w:r>
      <w:r w:rsidRPr="00485A71">
        <w:rPr>
          <w:rFonts w:cs="Arial"/>
          <w:sz w:val="24"/>
          <w:szCs w:val="24"/>
        </w:rPr>
        <w:t xml:space="preserve"> A empresa estatal deve divulgar a remuneração dos administradores no âmbito da Carta Anual de Governança Corporativa, </w:t>
      </w:r>
      <w:r>
        <w:rPr>
          <w:rFonts w:cs="Arial"/>
          <w:sz w:val="24"/>
          <w:szCs w:val="24"/>
        </w:rPr>
        <w:t>conforme exigência do art.</w:t>
      </w:r>
      <w:r w:rsidRPr="00485A71">
        <w:rPr>
          <w:rFonts w:cs="Arial"/>
          <w:sz w:val="24"/>
          <w:szCs w:val="24"/>
        </w:rPr>
        <w:t xml:space="preserve"> 12 da Lei Federal </w:t>
      </w:r>
      <w:r>
        <w:rPr>
          <w:rFonts w:cs="Arial"/>
          <w:sz w:val="24"/>
          <w:szCs w:val="24"/>
        </w:rPr>
        <w:t xml:space="preserve">nº </w:t>
      </w:r>
      <w:r w:rsidRPr="00485A71">
        <w:rPr>
          <w:rFonts w:cs="Arial"/>
          <w:sz w:val="24"/>
          <w:szCs w:val="24"/>
        </w:rPr>
        <w:t>13.303</w:t>
      </w:r>
      <w:r>
        <w:rPr>
          <w:rFonts w:cs="Arial"/>
          <w:sz w:val="24"/>
          <w:szCs w:val="24"/>
        </w:rPr>
        <w:t>/20</w:t>
      </w:r>
      <w:r w:rsidRPr="00485A71">
        <w:rPr>
          <w:rFonts w:cs="Arial"/>
          <w:sz w:val="24"/>
          <w:szCs w:val="24"/>
        </w:rPr>
        <w:t>16</w:t>
      </w:r>
      <w:r>
        <w:rPr>
          <w:rFonts w:cs="Arial"/>
          <w:sz w:val="24"/>
          <w:szCs w:val="24"/>
        </w:rPr>
        <w:t>, na forma do §2º do art. 7º desta Instrução Normativa, cujo modelo de referência se encontra no Anexo IX.</w:t>
      </w:r>
    </w:p>
    <w:p w:rsidR="00403F58" w:rsidRPr="00485A71" w:rsidRDefault="00403F58" w:rsidP="00403F58">
      <w:pPr>
        <w:pStyle w:val="Default"/>
        <w:ind w:left="2552"/>
        <w:jc w:val="both"/>
        <w:rPr>
          <w:rFonts w:ascii="Arial" w:hAnsi="Arial" w:cs="Arial"/>
          <w:bCs/>
          <w:color w:val="auto"/>
        </w:rPr>
      </w:pPr>
    </w:p>
    <w:p w:rsidR="00403F58" w:rsidRPr="00D57079" w:rsidRDefault="00403F58" w:rsidP="00403F58">
      <w:pPr>
        <w:pStyle w:val="Cabealho"/>
        <w:tabs>
          <w:tab w:val="clear" w:pos="4419"/>
          <w:tab w:val="center" w:pos="0"/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D57079">
        <w:rPr>
          <w:rFonts w:cs="Arial"/>
          <w:sz w:val="24"/>
          <w:szCs w:val="24"/>
        </w:rPr>
        <w:t xml:space="preserve">Art. </w:t>
      </w:r>
      <w:r>
        <w:rPr>
          <w:rFonts w:cs="Arial"/>
          <w:sz w:val="24"/>
          <w:szCs w:val="24"/>
        </w:rPr>
        <w:t>8</w:t>
      </w:r>
      <w:r w:rsidRPr="00D57079">
        <w:rPr>
          <w:rFonts w:cs="Arial"/>
          <w:sz w:val="24"/>
          <w:szCs w:val="24"/>
        </w:rPr>
        <w:t>º</w:t>
      </w:r>
      <w:r>
        <w:rPr>
          <w:rFonts w:cs="Arial"/>
          <w:sz w:val="24"/>
          <w:szCs w:val="24"/>
        </w:rPr>
        <w:t>.</w:t>
      </w:r>
      <w:r w:rsidRPr="00D57079">
        <w:rPr>
          <w:rFonts w:cs="Arial"/>
          <w:sz w:val="24"/>
          <w:szCs w:val="24"/>
        </w:rPr>
        <w:t xml:space="preserve"> Visando interação no fluxo de informação entre as áreas internas e os executivos </w:t>
      </w:r>
      <w:r>
        <w:rPr>
          <w:rFonts w:cs="Arial"/>
          <w:sz w:val="24"/>
          <w:szCs w:val="24"/>
        </w:rPr>
        <w:t>d</w:t>
      </w:r>
      <w:r w:rsidRPr="00D57079">
        <w:rPr>
          <w:rFonts w:cs="Arial"/>
          <w:sz w:val="24"/>
          <w:szCs w:val="24"/>
        </w:rPr>
        <w:t>a empresa estatal</w:t>
      </w:r>
      <w:r>
        <w:rPr>
          <w:rFonts w:cs="Arial"/>
          <w:sz w:val="24"/>
          <w:szCs w:val="24"/>
        </w:rPr>
        <w:t>,</w:t>
      </w:r>
      <w:r w:rsidRPr="00D57079">
        <w:rPr>
          <w:rFonts w:cs="Arial"/>
          <w:sz w:val="24"/>
          <w:szCs w:val="24"/>
        </w:rPr>
        <w:t xml:space="preserve"> e destes em relação ao ambiente externo, </w:t>
      </w:r>
      <w:r>
        <w:rPr>
          <w:rFonts w:cs="Arial"/>
          <w:sz w:val="24"/>
          <w:szCs w:val="24"/>
        </w:rPr>
        <w:t xml:space="preserve">o Conselho de Administração </w:t>
      </w:r>
      <w:r w:rsidRPr="00D57079">
        <w:rPr>
          <w:rFonts w:cs="Arial"/>
          <w:sz w:val="24"/>
          <w:szCs w:val="24"/>
        </w:rPr>
        <w:t>deve estabelecer</w:t>
      </w:r>
      <w:r>
        <w:rPr>
          <w:rFonts w:cs="Arial"/>
          <w:sz w:val="24"/>
          <w:szCs w:val="24"/>
        </w:rPr>
        <w:t xml:space="preserve"> </w:t>
      </w:r>
      <w:r w:rsidRPr="00D57079">
        <w:rPr>
          <w:rFonts w:cs="Arial"/>
          <w:sz w:val="24"/>
          <w:szCs w:val="24"/>
        </w:rPr>
        <w:t>Política de Porta-Vozes</w:t>
      </w:r>
      <w:r>
        <w:rPr>
          <w:rFonts w:cs="Arial"/>
          <w:sz w:val="24"/>
          <w:szCs w:val="24"/>
        </w:rPr>
        <w:t xml:space="preserve"> de acordo com o inciso III do Art. 18 da Lei Federal nº 13.303/2016, cujo modelo de referência se encontra </w:t>
      </w:r>
      <w:r w:rsidRPr="00D57079">
        <w:rPr>
          <w:rFonts w:cs="Arial"/>
          <w:sz w:val="24"/>
          <w:szCs w:val="24"/>
        </w:rPr>
        <w:t xml:space="preserve">no </w:t>
      </w:r>
      <w:r w:rsidRPr="00AE1B85">
        <w:rPr>
          <w:rFonts w:cs="Arial"/>
          <w:sz w:val="24"/>
          <w:szCs w:val="24"/>
        </w:rPr>
        <w:t>Anexo X</w:t>
      </w:r>
      <w:r w:rsidRPr="002425F7">
        <w:rPr>
          <w:rFonts w:cs="Arial"/>
          <w:sz w:val="24"/>
          <w:szCs w:val="24"/>
        </w:rPr>
        <w:t>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clear" w:pos="4419"/>
          <w:tab w:val="center" w:pos="0"/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 xml:space="preserve">Art. </w:t>
      </w:r>
      <w:r>
        <w:rPr>
          <w:rFonts w:cs="Arial"/>
          <w:sz w:val="24"/>
          <w:szCs w:val="24"/>
        </w:rPr>
        <w:t>9º.</w:t>
      </w:r>
      <w:r w:rsidRPr="00485A71">
        <w:rPr>
          <w:rFonts w:cs="Arial"/>
          <w:sz w:val="24"/>
          <w:szCs w:val="24"/>
        </w:rPr>
        <w:t xml:space="preserve"> O Planejamento Estratégico da empresa estatal deve contemplar estratégias de longo prazo, estabelecidas no âmbito do Plano Diretor, de médio prazo </w:t>
      </w:r>
      <w:r>
        <w:rPr>
          <w:rFonts w:cs="Arial"/>
          <w:sz w:val="24"/>
          <w:szCs w:val="24"/>
        </w:rPr>
        <w:t xml:space="preserve">previstas </w:t>
      </w:r>
      <w:r w:rsidRPr="00485A71">
        <w:rPr>
          <w:rFonts w:cs="Arial"/>
          <w:sz w:val="24"/>
          <w:szCs w:val="24"/>
        </w:rPr>
        <w:t>no Contrato de Gestão e Resultados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e de curto prazo por meio do Plano de Negócio Anual.</w:t>
      </w:r>
    </w:p>
    <w:p w:rsidR="00403F58" w:rsidRPr="00485A71" w:rsidRDefault="00403F58" w:rsidP="00403F58">
      <w:pPr>
        <w:pStyle w:val="Cabealho"/>
        <w:tabs>
          <w:tab w:val="clear" w:pos="4419"/>
          <w:tab w:val="center" w:pos="0"/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 xml:space="preserve">§1º Na elaboração do Plano Diretor a empresa estatal deve observar </w:t>
      </w:r>
      <w:r>
        <w:rPr>
          <w:rFonts w:cs="Arial"/>
          <w:sz w:val="24"/>
          <w:szCs w:val="24"/>
        </w:rPr>
        <w:t>o Plano Estratégico do Estado.</w:t>
      </w:r>
      <w:r w:rsidRPr="00485A71">
        <w:rPr>
          <w:rFonts w:cs="Arial"/>
          <w:sz w:val="24"/>
          <w:szCs w:val="24"/>
        </w:rPr>
        <w:t xml:space="preserve"> Referido Plano</w:t>
      </w:r>
      <w:r>
        <w:rPr>
          <w:rFonts w:cs="Arial"/>
          <w:sz w:val="24"/>
          <w:szCs w:val="24"/>
        </w:rPr>
        <w:t xml:space="preserve"> Diretor</w:t>
      </w:r>
      <w:r w:rsidRPr="00485A71">
        <w:rPr>
          <w:rFonts w:cs="Arial"/>
          <w:sz w:val="24"/>
          <w:szCs w:val="24"/>
        </w:rPr>
        <w:t xml:space="preserve"> também pode ser substituído pela Estratégia de Longo Prazo, que deve</w:t>
      </w:r>
      <w:r>
        <w:rPr>
          <w:rFonts w:cs="Arial"/>
          <w:sz w:val="24"/>
          <w:szCs w:val="24"/>
        </w:rPr>
        <w:t>rá</w:t>
      </w:r>
      <w:r w:rsidRPr="00485A71">
        <w:rPr>
          <w:rFonts w:cs="Arial"/>
          <w:sz w:val="24"/>
          <w:szCs w:val="24"/>
        </w:rPr>
        <w:t xml:space="preserve"> observar o escopo de atuação e propósito da empresa estatal</w:t>
      </w:r>
      <w:r>
        <w:rPr>
          <w:rFonts w:cs="Arial"/>
          <w:sz w:val="24"/>
          <w:szCs w:val="24"/>
        </w:rPr>
        <w:t>;</w:t>
      </w:r>
      <w:r w:rsidRPr="00485A71">
        <w:rPr>
          <w:rFonts w:cs="Arial"/>
          <w:sz w:val="24"/>
          <w:szCs w:val="24"/>
        </w:rPr>
        <w:t xml:space="preserve"> fazer a análise ambiental</w:t>
      </w:r>
      <w:r>
        <w:rPr>
          <w:rFonts w:cs="Arial"/>
          <w:sz w:val="24"/>
          <w:szCs w:val="24"/>
        </w:rPr>
        <w:t>;</w:t>
      </w:r>
      <w:r w:rsidRPr="00485A71">
        <w:rPr>
          <w:rFonts w:cs="Arial"/>
          <w:sz w:val="24"/>
          <w:szCs w:val="24"/>
        </w:rPr>
        <w:t xml:space="preserve"> estabelecer os objetivos e metas estratégicos</w:t>
      </w:r>
      <w:r>
        <w:rPr>
          <w:rFonts w:cs="Arial"/>
          <w:sz w:val="24"/>
          <w:szCs w:val="24"/>
        </w:rPr>
        <w:t>;</w:t>
      </w:r>
      <w:r w:rsidRPr="00485A71">
        <w:rPr>
          <w:rFonts w:cs="Arial"/>
          <w:sz w:val="24"/>
          <w:szCs w:val="24"/>
        </w:rPr>
        <w:t xml:space="preserve"> proceder à análise de Riscos </w:t>
      </w:r>
      <w:r w:rsidRPr="00485A71">
        <w:rPr>
          <w:rFonts w:cs="Arial"/>
          <w:sz w:val="24"/>
          <w:szCs w:val="24"/>
        </w:rPr>
        <w:lastRenderedPageBreak/>
        <w:t>Estratégicos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nos termos do </w:t>
      </w:r>
      <w:r w:rsidRPr="002D2E54">
        <w:rPr>
          <w:rFonts w:cs="Arial"/>
          <w:sz w:val="24"/>
          <w:szCs w:val="24"/>
        </w:rPr>
        <w:t>Art. 1</w:t>
      </w:r>
      <w:r>
        <w:rPr>
          <w:rFonts w:cs="Arial"/>
          <w:sz w:val="24"/>
          <w:szCs w:val="24"/>
        </w:rPr>
        <w:t>0</w:t>
      </w:r>
      <w:r w:rsidRPr="002D2E54">
        <w:rPr>
          <w:rFonts w:cs="Arial"/>
          <w:sz w:val="24"/>
          <w:szCs w:val="24"/>
        </w:rPr>
        <w:t>º</w:t>
      </w:r>
      <w:r>
        <w:rPr>
          <w:rFonts w:cs="Arial"/>
          <w:sz w:val="24"/>
          <w:szCs w:val="24"/>
        </w:rPr>
        <w:t xml:space="preserve"> desta Instrução Normativa</w:t>
      </w:r>
      <w:r w:rsidRPr="002D2E54"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bem como a formulação da estratégia de longo prazo para o atingimento dos objetivos estratégicos, </w:t>
      </w:r>
      <w:r>
        <w:rPr>
          <w:rFonts w:cs="Arial"/>
          <w:sz w:val="24"/>
          <w:szCs w:val="24"/>
        </w:rPr>
        <w:t>conforme modelo de referência que se encontra</w:t>
      </w:r>
      <w:r w:rsidRPr="00485A71">
        <w:rPr>
          <w:rFonts w:cs="Arial"/>
          <w:sz w:val="24"/>
          <w:szCs w:val="24"/>
        </w:rPr>
        <w:t xml:space="preserve"> no </w:t>
      </w:r>
      <w:r w:rsidRPr="00AE1B85">
        <w:rPr>
          <w:rFonts w:cs="Arial"/>
          <w:sz w:val="24"/>
          <w:szCs w:val="24"/>
        </w:rPr>
        <w:t>Anexo X</w:t>
      </w:r>
      <w:r>
        <w:rPr>
          <w:rFonts w:cs="Arial"/>
          <w:sz w:val="24"/>
          <w:szCs w:val="24"/>
        </w:rPr>
        <w:t>I</w:t>
      </w:r>
      <w:r w:rsidRPr="0073161A">
        <w:rPr>
          <w:rFonts w:cs="Arial"/>
          <w:sz w:val="24"/>
          <w:szCs w:val="24"/>
        </w:rPr>
        <w:t>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§2º O Contrato de Gestão, que desdobra os objetivos e metas do Plano Diretor para o período de quatro anos, tem por objetivo regular o relacionamento entre o Conselho de Administração e a Diretoria Executiva da empresa estatal, no que tange às obrigações das partes e os objetivos e metas acordados</w:t>
      </w:r>
      <w:r>
        <w:rPr>
          <w:rFonts w:cs="Arial"/>
          <w:sz w:val="24"/>
          <w:szCs w:val="24"/>
        </w:rPr>
        <w:t xml:space="preserve">, conforme modelo de referência que se encontra no </w:t>
      </w:r>
      <w:r w:rsidRPr="00AE1B85">
        <w:rPr>
          <w:rFonts w:cs="Arial"/>
          <w:sz w:val="24"/>
          <w:szCs w:val="24"/>
        </w:rPr>
        <w:t>Anexo X</w:t>
      </w:r>
      <w:r>
        <w:rPr>
          <w:rFonts w:cs="Arial"/>
          <w:sz w:val="24"/>
          <w:szCs w:val="24"/>
        </w:rPr>
        <w:t>I</w:t>
      </w:r>
      <w:r w:rsidRPr="00AE1B85">
        <w:rPr>
          <w:rFonts w:cs="Arial"/>
          <w:sz w:val="24"/>
          <w:szCs w:val="24"/>
        </w:rPr>
        <w:t>I</w:t>
      </w:r>
      <w:r w:rsidRPr="0073161A">
        <w:rPr>
          <w:rFonts w:cs="Arial"/>
          <w:sz w:val="24"/>
          <w:szCs w:val="24"/>
        </w:rPr>
        <w:t>.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§3º A empresa estatal, mediante prévia autorização do Conselho de Administração ou do Conselho de Política Financeira – CPF, conforme o caso, poderá instituir política de participações nos lucros e resultados ou remuneração variável para os membros da Diretoria, cujos institutos não poderão ser cumulados e deverão ser objeto do respectivo Contrato de Gestão.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§</w:t>
      </w:r>
      <w:r>
        <w:rPr>
          <w:rFonts w:cs="Arial"/>
          <w:sz w:val="24"/>
          <w:szCs w:val="24"/>
        </w:rPr>
        <w:t>4º</w:t>
      </w:r>
      <w:r w:rsidRPr="00485A71">
        <w:rPr>
          <w:rFonts w:cs="Arial"/>
          <w:sz w:val="24"/>
          <w:szCs w:val="24"/>
        </w:rPr>
        <w:t xml:space="preserve"> O Plano de Negócio Anual, exig</w:t>
      </w:r>
      <w:r>
        <w:rPr>
          <w:rFonts w:cs="Arial"/>
          <w:sz w:val="24"/>
          <w:szCs w:val="24"/>
        </w:rPr>
        <w:t>ido no art.</w:t>
      </w:r>
      <w:r w:rsidRPr="00485A71">
        <w:rPr>
          <w:rFonts w:cs="Arial"/>
          <w:sz w:val="24"/>
          <w:szCs w:val="24"/>
        </w:rPr>
        <w:t xml:space="preserve"> 23 da Lei </w:t>
      </w:r>
      <w:r>
        <w:rPr>
          <w:rFonts w:cs="Arial"/>
          <w:sz w:val="24"/>
          <w:szCs w:val="24"/>
        </w:rPr>
        <w:t>F</w:t>
      </w:r>
      <w:r w:rsidRPr="00485A71">
        <w:rPr>
          <w:rFonts w:cs="Arial"/>
          <w:sz w:val="24"/>
          <w:szCs w:val="24"/>
        </w:rPr>
        <w:t xml:space="preserve">ederal </w:t>
      </w:r>
      <w:r>
        <w:rPr>
          <w:rFonts w:cs="Arial"/>
          <w:sz w:val="24"/>
          <w:szCs w:val="24"/>
        </w:rPr>
        <w:t xml:space="preserve">nº </w:t>
      </w:r>
      <w:r w:rsidRPr="00485A71">
        <w:rPr>
          <w:rFonts w:cs="Arial"/>
          <w:sz w:val="24"/>
          <w:szCs w:val="24"/>
        </w:rPr>
        <w:t>13.303</w:t>
      </w:r>
      <w:r>
        <w:rPr>
          <w:rFonts w:cs="Arial"/>
          <w:sz w:val="24"/>
          <w:szCs w:val="24"/>
        </w:rPr>
        <w:t>/20</w:t>
      </w:r>
      <w:r w:rsidRPr="00485A71">
        <w:rPr>
          <w:rFonts w:cs="Arial"/>
          <w:sz w:val="24"/>
          <w:szCs w:val="24"/>
        </w:rPr>
        <w:t>16</w:t>
      </w:r>
      <w:r>
        <w:rPr>
          <w:rFonts w:cs="Arial"/>
          <w:sz w:val="24"/>
          <w:szCs w:val="24"/>
        </w:rPr>
        <w:t>, é o desdobramento d</w:t>
      </w:r>
      <w:r w:rsidRPr="00485A71">
        <w:rPr>
          <w:rFonts w:cs="Arial"/>
          <w:sz w:val="24"/>
          <w:szCs w:val="24"/>
        </w:rPr>
        <w:t xml:space="preserve">o primeiro ano de projeção do Contrato de Gestão, </w:t>
      </w:r>
      <w:r>
        <w:rPr>
          <w:rFonts w:cs="Arial"/>
          <w:sz w:val="24"/>
          <w:szCs w:val="24"/>
        </w:rPr>
        <w:t xml:space="preserve">cujo modelo de referência se encontra </w:t>
      </w:r>
      <w:r w:rsidRPr="00485A71">
        <w:rPr>
          <w:rFonts w:cs="Arial"/>
          <w:sz w:val="24"/>
          <w:szCs w:val="24"/>
        </w:rPr>
        <w:t xml:space="preserve">no </w:t>
      </w:r>
      <w:r w:rsidRPr="00AE1B85">
        <w:rPr>
          <w:rFonts w:cs="Arial"/>
          <w:sz w:val="24"/>
          <w:szCs w:val="24"/>
        </w:rPr>
        <w:t>Anexo XII</w:t>
      </w:r>
      <w:r>
        <w:rPr>
          <w:rFonts w:cs="Arial"/>
          <w:sz w:val="24"/>
          <w:szCs w:val="24"/>
        </w:rPr>
        <w:t>I</w:t>
      </w:r>
      <w:r w:rsidRPr="0073161A">
        <w:rPr>
          <w:rFonts w:cs="Arial"/>
          <w:sz w:val="24"/>
          <w:szCs w:val="24"/>
        </w:rPr>
        <w:t>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§</w:t>
      </w:r>
      <w:r>
        <w:rPr>
          <w:rFonts w:cs="Arial"/>
          <w:sz w:val="24"/>
          <w:szCs w:val="24"/>
        </w:rPr>
        <w:t>5º</w:t>
      </w:r>
      <w:r w:rsidRPr="00485A71">
        <w:rPr>
          <w:rFonts w:cs="Arial"/>
          <w:sz w:val="24"/>
          <w:szCs w:val="24"/>
        </w:rPr>
        <w:t xml:space="preserve"> No Plano de Carreira</w:t>
      </w:r>
      <w:r>
        <w:rPr>
          <w:rFonts w:cs="Arial"/>
          <w:sz w:val="24"/>
          <w:szCs w:val="24"/>
        </w:rPr>
        <w:t xml:space="preserve">, </w:t>
      </w:r>
      <w:r w:rsidRPr="00485A71">
        <w:rPr>
          <w:rFonts w:cs="Arial"/>
          <w:sz w:val="24"/>
          <w:szCs w:val="24"/>
        </w:rPr>
        <w:t xml:space="preserve">Cargos e Salários e/ou na Política de Participação nos Lucros e Resultados da empresa estatal, </w:t>
      </w:r>
      <w:r>
        <w:rPr>
          <w:rFonts w:cs="Arial"/>
          <w:sz w:val="24"/>
          <w:szCs w:val="24"/>
        </w:rPr>
        <w:t xml:space="preserve">quando houver, </w:t>
      </w:r>
      <w:r w:rsidRPr="00485A71">
        <w:rPr>
          <w:rFonts w:cs="Arial"/>
          <w:sz w:val="24"/>
          <w:szCs w:val="24"/>
        </w:rPr>
        <w:t xml:space="preserve">deve </w:t>
      </w:r>
      <w:r>
        <w:rPr>
          <w:rFonts w:cs="Arial"/>
          <w:sz w:val="24"/>
          <w:szCs w:val="24"/>
        </w:rPr>
        <w:t>ser</w:t>
      </w:r>
      <w:r w:rsidRPr="00485A71">
        <w:rPr>
          <w:rFonts w:cs="Arial"/>
          <w:sz w:val="24"/>
          <w:szCs w:val="24"/>
        </w:rPr>
        <w:t xml:space="preserve"> contemplad</w:t>
      </w:r>
      <w:r>
        <w:rPr>
          <w:rFonts w:cs="Arial"/>
          <w:sz w:val="24"/>
          <w:szCs w:val="24"/>
        </w:rPr>
        <w:t>o</w:t>
      </w:r>
      <w:r w:rsidRPr="00485A71">
        <w:rPr>
          <w:rFonts w:cs="Arial"/>
          <w:sz w:val="24"/>
          <w:szCs w:val="24"/>
        </w:rPr>
        <w:t xml:space="preserve"> plano de metas (meritocracia) desdobradas do Plano de Negócios Anual e/ou do Contrato de Gestão e Resultados.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 xml:space="preserve">Art. </w:t>
      </w:r>
      <w:r>
        <w:rPr>
          <w:rFonts w:cs="Arial"/>
          <w:sz w:val="24"/>
          <w:szCs w:val="24"/>
        </w:rPr>
        <w:t>10.</w:t>
      </w:r>
      <w:r w:rsidRPr="00485A71">
        <w:rPr>
          <w:rFonts w:cs="Arial"/>
          <w:sz w:val="24"/>
          <w:szCs w:val="24"/>
        </w:rPr>
        <w:t xml:space="preserve"> A empresa estatal deve</w:t>
      </w:r>
      <w:r>
        <w:rPr>
          <w:rFonts w:cs="Arial"/>
          <w:sz w:val="24"/>
          <w:szCs w:val="24"/>
        </w:rPr>
        <w:t>rá</w:t>
      </w:r>
      <w:r w:rsidRPr="00485A71">
        <w:rPr>
          <w:rFonts w:cs="Arial"/>
          <w:sz w:val="24"/>
          <w:szCs w:val="24"/>
        </w:rPr>
        <w:t xml:space="preserve"> dispor de procedimentos mínimos a serem observados em um Sistema de Gestão de Riscos, Controles Internos, Auditoria e Compliance.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§1º Na gestão de risco a empresa estatal deve analisar os riscos na consecução dos objetivos e metas estratégicos, bem como, de forma incremental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o desdobramento dos mesmos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com a verificação dos processos, mitigando-os por meio do controle interno, </w:t>
      </w:r>
      <w:r>
        <w:rPr>
          <w:rFonts w:cs="Arial"/>
          <w:sz w:val="24"/>
          <w:szCs w:val="24"/>
        </w:rPr>
        <w:t xml:space="preserve">conforme </w:t>
      </w:r>
      <w:r w:rsidRPr="00485A71">
        <w:rPr>
          <w:rFonts w:cs="Arial"/>
          <w:sz w:val="24"/>
          <w:szCs w:val="24"/>
        </w:rPr>
        <w:t xml:space="preserve">modelo de referência </w:t>
      </w:r>
      <w:r>
        <w:rPr>
          <w:rFonts w:cs="Arial"/>
          <w:sz w:val="24"/>
          <w:szCs w:val="24"/>
        </w:rPr>
        <w:t xml:space="preserve">que </w:t>
      </w:r>
      <w:r w:rsidRPr="00485A71">
        <w:rPr>
          <w:rFonts w:cs="Arial"/>
          <w:sz w:val="24"/>
          <w:szCs w:val="24"/>
        </w:rPr>
        <w:t xml:space="preserve">se encontra no </w:t>
      </w:r>
      <w:r w:rsidRPr="00AE1B85">
        <w:rPr>
          <w:rFonts w:cs="Arial"/>
          <w:sz w:val="24"/>
          <w:szCs w:val="24"/>
        </w:rPr>
        <w:t>Anexo XI</w:t>
      </w:r>
      <w:r>
        <w:rPr>
          <w:rFonts w:cs="Arial"/>
          <w:sz w:val="24"/>
          <w:szCs w:val="24"/>
        </w:rPr>
        <w:t>V</w:t>
      </w:r>
      <w:r w:rsidRPr="0073161A">
        <w:rPr>
          <w:rFonts w:cs="Arial"/>
          <w:sz w:val="24"/>
          <w:szCs w:val="24"/>
        </w:rPr>
        <w:t>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 xml:space="preserve">§2º O </w:t>
      </w:r>
      <w:r>
        <w:rPr>
          <w:rFonts w:cs="Arial"/>
          <w:sz w:val="24"/>
          <w:szCs w:val="24"/>
        </w:rPr>
        <w:t>m</w:t>
      </w:r>
      <w:r w:rsidRPr="00485A71">
        <w:rPr>
          <w:rFonts w:cs="Arial"/>
          <w:sz w:val="24"/>
          <w:szCs w:val="24"/>
        </w:rPr>
        <w:t xml:space="preserve">odelo de referência para Auditoria Interna, constante </w:t>
      </w:r>
      <w:r w:rsidRPr="0073161A">
        <w:rPr>
          <w:rFonts w:cs="Arial"/>
          <w:sz w:val="24"/>
          <w:szCs w:val="24"/>
        </w:rPr>
        <w:t xml:space="preserve">do </w:t>
      </w:r>
      <w:r w:rsidRPr="00AE1B85">
        <w:rPr>
          <w:rFonts w:cs="Arial"/>
          <w:sz w:val="24"/>
          <w:szCs w:val="24"/>
        </w:rPr>
        <w:t>Anexo XV</w:t>
      </w:r>
      <w:r w:rsidRPr="0073161A"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está adaptado aos normativos legais, cabendo à empresa estatal</w:t>
      </w:r>
      <w:r w:rsidRPr="002D2E5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 grande porte</w:t>
      </w:r>
      <w:r w:rsidRPr="00485A71">
        <w:rPr>
          <w:rFonts w:cs="Arial"/>
          <w:sz w:val="24"/>
          <w:szCs w:val="24"/>
        </w:rPr>
        <w:t xml:space="preserve"> definir se a estrutura administrativa responsável pela auditoria se submeterá ao Conselho de Administração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diretamente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ou por intermédio do Comitê de Auditoria.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 xml:space="preserve">§3º Nos procedimentos de Compliance a empresa estatal deve avaliar a aderência às normas externas e internas buscando identificar condutas inadequadas, considerando o tamanho e complexidade do negócio na definição do escopo de atuação, conforme estabelecido no </w:t>
      </w:r>
      <w:r w:rsidRPr="00AE1B85">
        <w:rPr>
          <w:rFonts w:cs="Arial"/>
          <w:sz w:val="24"/>
          <w:szCs w:val="24"/>
        </w:rPr>
        <w:t>Anexo XI</w:t>
      </w:r>
      <w:r>
        <w:rPr>
          <w:rFonts w:cs="Arial"/>
          <w:sz w:val="24"/>
          <w:szCs w:val="24"/>
        </w:rPr>
        <w:t>V</w:t>
      </w:r>
      <w:r w:rsidRPr="0073161A">
        <w:rPr>
          <w:rFonts w:cs="Arial"/>
          <w:sz w:val="24"/>
          <w:szCs w:val="24"/>
        </w:rPr>
        <w:t>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Art. 1</w:t>
      </w:r>
      <w:r>
        <w:rPr>
          <w:rFonts w:cs="Arial"/>
          <w:sz w:val="24"/>
          <w:szCs w:val="24"/>
        </w:rPr>
        <w:t xml:space="preserve">1. </w:t>
      </w:r>
      <w:r w:rsidRPr="00485A71">
        <w:rPr>
          <w:rFonts w:cs="Arial"/>
          <w:sz w:val="24"/>
          <w:szCs w:val="24"/>
        </w:rPr>
        <w:t>A empresa estatal deve aprovar Regimento Interno do Comitê de Auditoria Estatutário, como órgão auxiliar do Conselho de Administração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ao qual se reporta diretamente nas suas funções de supervisão de </w:t>
      </w:r>
      <w:r w:rsidRPr="00485A71">
        <w:rPr>
          <w:rFonts w:cs="Arial"/>
          <w:sz w:val="24"/>
          <w:szCs w:val="24"/>
        </w:rPr>
        <w:lastRenderedPageBreak/>
        <w:t>auditoria interna</w:t>
      </w:r>
      <w:r>
        <w:rPr>
          <w:rFonts w:cs="Arial"/>
          <w:sz w:val="24"/>
          <w:szCs w:val="24"/>
        </w:rPr>
        <w:t xml:space="preserve">, </w:t>
      </w:r>
      <w:r w:rsidRPr="00485A71">
        <w:rPr>
          <w:rFonts w:cs="Arial"/>
          <w:sz w:val="24"/>
          <w:szCs w:val="24"/>
        </w:rPr>
        <w:t>externa e de fiscalização, além da avaliação do sistema de gerenciamento de riscos, d</w:t>
      </w:r>
      <w:r>
        <w:rPr>
          <w:rFonts w:cs="Arial"/>
          <w:sz w:val="24"/>
          <w:szCs w:val="24"/>
        </w:rPr>
        <w:t>e</w:t>
      </w:r>
      <w:r w:rsidRPr="00485A71">
        <w:rPr>
          <w:rFonts w:cs="Arial"/>
          <w:sz w:val="24"/>
          <w:szCs w:val="24"/>
        </w:rPr>
        <w:t xml:space="preserve"> monitoramento da atividade de controle interno e das demonstrações financeiras.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 xml:space="preserve">§1º O disposto no </w:t>
      </w:r>
      <w:r w:rsidRPr="009870CD">
        <w:rPr>
          <w:rFonts w:cs="Arial"/>
          <w:i/>
          <w:sz w:val="24"/>
          <w:szCs w:val="24"/>
        </w:rPr>
        <w:t>caput</w:t>
      </w:r>
      <w:r w:rsidRPr="00485A71">
        <w:rPr>
          <w:rFonts w:cs="Arial"/>
          <w:sz w:val="24"/>
          <w:szCs w:val="24"/>
        </w:rPr>
        <w:t xml:space="preserve"> deste artigo se aplica à empresa estatal </w:t>
      </w:r>
      <w:r>
        <w:rPr>
          <w:rFonts w:cs="Arial"/>
          <w:sz w:val="24"/>
          <w:szCs w:val="24"/>
        </w:rPr>
        <w:t>de pequeno porte</w:t>
      </w:r>
      <w:r w:rsidRPr="00485A71">
        <w:rPr>
          <w:rFonts w:cs="Arial"/>
          <w:sz w:val="24"/>
          <w:szCs w:val="24"/>
        </w:rPr>
        <w:t xml:space="preserve">, na hipótese </w:t>
      </w:r>
      <w:r>
        <w:rPr>
          <w:rFonts w:cs="Arial"/>
          <w:sz w:val="24"/>
          <w:szCs w:val="24"/>
        </w:rPr>
        <w:t>de criação do</w:t>
      </w:r>
      <w:r w:rsidRPr="00485A71">
        <w:rPr>
          <w:rFonts w:cs="Arial"/>
          <w:sz w:val="24"/>
          <w:szCs w:val="24"/>
        </w:rPr>
        <w:t xml:space="preserve"> Comitê de Auditoria</w:t>
      </w:r>
      <w:r>
        <w:rPr>
          <w:rFonts w:cs="Arial"/>
          <w:sz w:val="24"/>
          <w:szCs w:val="24"/>
        </w:rPr>
        <w:t xml:space="preserve"> Estatutário</w:t>
      </w:r>
      <w:r w:rsidRPr="00485A71">
        <w:rPr>
          <w:rFonts w:cs="Arial"/>
          <w:sz w:val="24"/>
          <w:szCs w:val="24"/>
        </w:rPr>
        <w:t>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§2º O</w:t>
      </w:r>
      <w:r>
        <w:rPr>
          <w:rFonts w:cs="Arial"/>
          <w:sz w:val="24"/>
          <w:szCs w:val="24"/>
        </w:rPr>
        <w:t xml:space="preserve"> modelo de referência do</w:t>
      </w:r>
      <w:r w:rsidRPr="00485A71">
        <w:rPr>
          <w:rFonts w:cs="Arial"/>
          <w:sz w:val="24"/>
          <w:szCs w:val="24"/>
        </w:rPr>
        <w:t xml:space="preserve"> Regimento Interno do Comitê de Auditoria Estatutário </w:t>
      </w:r>
      <w:r>
        <w:rPr>
          <w:rFonts w:cs="Arial"/>
          <w:sz w:val="24"/>
          <w:szCs w:val="24"/>
        </w:rPr>
        <w:t xml:space="preserve">se encontra </w:t>
      </w:r>
      <w:r w:rsidRPr="00485A71">
        <w:rPr>
          <w:rFonts w:cs="Arial"/>
          <w:sz w:val="24"/>
          <w:szCs w:val="24"/>
        </w:rPr>
        <w:t xml:space="preserve">no </w:t>
      </w:r>
      <w:r w:rsidRPr="00AE1B85">
        <w:rPr>
          <w:rFonts w:cs="Arial"/>
          <w:sz w:val="24"/>
          <w:szCs w:val="24"/>
        </w:rPr>
        <w:t>Anexo XV</w:t>
      </w:r>
      <w:r>
        <w:rPr>
          <w:rFonts w:cs="Arial"/>
          <w:sz w:val="24"/>
          <w:szCs w:val="24"/>
        </w:rPr>
        <w:t>I</w:t>
      </w:r>
      <w:r w:rsidRPr="0073161A">
        <w:rPr>
          <w:rFonts w:cs="Arial"/>
          <w:sz w:val="24"/>
          <w:szCs w:val="24"/>
        </w:rPr>
        <w:t>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Art. 1</w:t>
      </w:r>
      <w:r>
        <w:rPr>
          <w:rFonts w:cs="Arial"/>
          <w:sz w:val="24"/>
          <w:szCs w:val="24"/>
        </w:rPr>
        <w:t xml:space="preserve">2. </w:t>
      </w:r>
      <w:r w:rsidRPr="00485A71">
        <w:rPr>
          <w:rFonts w:cs="Arial"/>
          <w:sz w:val="24"/>
          <w:szCs w:val="24"/>
        </w:rPr>
        <w:t xml:space="preserve">A empresa estatal deve aprovar Regimento Interno do Comitê de Elegibilidade, cujo órgão colegiado é independente, de caráter permanente, </w:t>
      </w:r>
      <w:r>
        <w:rPr>
          <w:rFonts w:cs="Arial"/>
          <w:sz w:val="24"/>
          <w:szCs w:val="24"/>
        </w:rPr>
        <w:t>opinativo, que tem por finalidade, entre outras, a de</w:t>
      </w:r>
      <w:r w:rsidRPr="00485A71">
        <w:rPr>
          <w:rFonts w:cs="Arial"/>
          <w:sz w:val="24"/>
          <w:szCs w:val="24"/>
        </w:rPr>
        <w:t xml:space="preserve"> verificar a conformidade do processo de indicação de membros para compor o Conselho de Administração, Conselho Fiscal e Diretoria Executiva da </w:t>
      </w:r>
      <w:r>
        <w:rPr>
          <w:rFonts w:cs="Arial"/>
          <w:sz w:val="24"/>
          <w:szCs w:val="24"/>
        </w:rPr>
        <w:t>e</w:t>
      </w:r>
      <w:r w:rsidRPr="00485A71">
        <w:rPr>
          <w:rFonts w:cs="Arial"/>
          <w:sz w:val="24"/>
          <w:szCs w:val="24"/>
        </w:rPr>
        <w:t>mpresa, com competência para auxiliar o acionista controlador na indicação desses membros</w:t>
      </w:r>
      <w:r>
        <w:rPr>
          <w:rFonts w:cs="Arial"/>
          <w:sz w:val="24"/>
          <w:szCs w:val="24"/>
        </w:rPr>
        <w:t>.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Parágrafo único. </w:t>
      </w:r>
      <w:r w:rsidRPr="00485A71">
        <w:rPr>
          <w:rFonts w:cs="Arial"/>
          <w:sz w:val="24"/>
          <w:szCs w:val="24"/>
        </w:rPr>
        <w:t>O</w:t>
      </w:r>
      <w:r>
        <w:rPr>
          <w:rFonts w:cs="Arial"/>
          <w:sz w:val="24"/>
          <w:szCs w:val="24"/>
        </w:rPr>
        <w:t xml:space="preserve"> modelo de referência do</w:t>
      </w:r>
      <w:r w:rsidRPr="00485A71">
        <w:rPr>
          <w:rFonts w:cs="Arial"/>
          <w:sz w:val="24"/>
          <w:szCs w:val="24"/>
        </w:rPr>
        <w:t xml:space="preserve"> Regimento Interno do</w:t>
      </w:r>
      <w:r>
        <w:rPr>
          <w:rFonts w:cs="Arial"/>
          <w:sz w:val="24"/>
          <w:szCs w:val="24"/>
        </w:rPr>
        <w:t xml:space="preserve"> </w:t>
      </w:r>
      <w:r w:rsidRPr="00485A71">
        <w:rPr>
          <w:rFonts w:cs="Arial"/>
          <w:sz w:val="24"/>
          <w:szCs w:val="24"/>
        </w:rPr>
        <w:t>Comitê de Elegibilidade</w:t>
      </w:r>
      <w:r>
        <w:rPr>
          <w:rFonts w:cs="Arial"/>
          <w:sz w:val="24"/>
          <w:szCs w:val="24"/>
        </w:rPr>
        <w:t xml:space="preserve"> se encontra no Anexo XVII.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Art. 1</w:t>
      </w:r>
      <w:r>
        <w:rPr>
          <w:rFonts w:cs="Arial"/>
          <w:sz w:val="24"/>
          <w:szCs w:val="24"/>
        </w:rPr>
        <w:t xml:space="preserve">3. </w:t>
      </w:r>
      <w:r w:rsidRPr="00485A71">
        <w:rPr>
          <w:rFonts w:cs="Arial"/>
          <w:sz w:val="24"/>
          <w:szCs w:val="24"/>
        </w:rPr>
        <w:t>O</w:t>
      </w:r>
      <w:r w:rsidRPr="00485A71">
        <w:rPr>
          <w:rFonts w:cs="Arial"/>
          <w:spacing w:val="-2"/>
          <w:sz w:val="24"/>
          <w:szCs w:val="24"/>
        </w:rPr>
        <w:t xml:space="preserve"> modelo de Código de Conduta e Integridade, previsto no §1º</w:t>
      </w:r>
      <w:r w:rsidRPr="00485A71">
        <w:rPr>
          <w:rFonts w:cs="Arial"/>
          <w:sz w:val="24"/>
          <w:szCs w:val="24"/>
        </w:rPr>
        <w:t xml:space="preserve"> do art. 9º da </w:t>
      </w:r>
      <w:r>
        <w:rPr>
          <w:rFonts w:cs="Arial"/>
          <w:sz w:val="24"/>
          <w:szCs w:val="24"/>
        </w:rPr>
        <w:t>Lei Federal nº 13.303/2016</w:t>
      </w:r>
      <w:r w:rsidRPr="00485A71">
        <w:rPr>
          <w:rFonts w:cs="Arial"/>
          <w:sz w:val="24"/>
          <w:szCs w:val="24"/>
        </w:rPr>
        <w:t xml:space="preserve"> e no §1º do art. 16 do Decreto nº 1.007</w:t>
      </w:r>
      <w:r>
        <w:rPr>
          <w:rFonts w:cs="Arial"/>
          <w:sz w:val="24"/>
          <w:szCs w:val="24"/>
        </w:rPr>
        <w:t>/</w:t>
      </w:r>
      <w:r w:rsidRPr="00485A71">
        <w:rPr>
          <w:rFonts w:cs="Arial"/>
          <w:sz w:val="24"/>
          <w:szCs w:val="24"/>
        </w:rPr>
        <w:t>2016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se encontra </w:t>
      </w:r>
      <w:r w:rsidRPr="00485A71">
        <w:rPr>
          <w:rFonts w:cs="Arial"/>
          <w:sz w:val="24"/>
          <w:szCs w:val="24"/>
        </w:rPr>
        <w:t xml:space="preserve">no </w:t>
      </w:r>
      <w:r w:rsidRPr="00AE1B85">
        <w:rPr>
          <w:rFonts w:cs="Arial"/>
          <w:sz w:val="24"/>
          <w:szCs w:val="24"/>
        </w:rPr>
        <w:t>Anexo XVII</w:t>
      </w:r>
      <w:r>
        <w:rPr>
          <w:rFonts w:cs="Arial"/>
          <w:sz w:val="24"/>
          <w:szCs w:val="24"/>
        </w:rPr>
        <w:t>I</w:t>
      </w:r>
      <w:r w:rsidRPr="0073161A">
        <w:rPr>
          <w:rFonts w:cs="Arial"/>
          <w:sz w:val="24"/>
          <w:szCs w:val="24"/>
        </w:rPr>
        <w:t>.</w:t>
      </w:r>
    </w:p>
    <w:p w:rsidR="00403F58" w:rsidRPr="00DD522A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clear" w:pos="4419"/>
          <w:tab w:val="center" w:pos="0"/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Art. 1</w:t>
      </w:r>
      <w:r>
        <w:rPr>
          <w:rFonts w:cs="Arial"/>
          <w:sz w:val="24"/>
          <w:szCs w:val="24"/>
        </w:rPr>
        <w:t xml:space="preserve">4. </w:t>
      </w:r>
      <w:r w:rsidRPr="00485A71">
        <w:rPr>
          <w:rFonts w:cs="Arial"/>
          <w:sz w:val="24"/>
          <w:szCs w:val="24"/>
        </w:rPr>
        <w:t>Quando a empresa estatal participa</w:t>
      </w:r>
      <w:r>
        <w:rPr>
          <w:rFonts w:cs="Arial"/>
          <w:sz w:val="24"/>
          <w:szCs w:val="24"/>
        </w:rPr>
        <w:t>r</w:t>
      </w:r>
      <w:r w:rsidRPr="00485A71">
        <w:rPr>
          <w:rFonts w:cs="Arial"/>
          <w:sz w:val="24"/>
          <w:szCs w:val="24"/>
        </w:rPr>
        <w:t xml:space="preserve"> de outras sociedades, sem controle acionário, conforme o disposto no §7º do art. 1º da Lei </w:t>
      </w:r>
      <w:r>
        <w:rPr>
          <w:rFonts w:cs="Arial"/>
          <w:sz w:val="24"/>
          <w:szCs w:val="24"/>
        </w:rPr>
        <w:t>F</w:t>
      </w:r>
      <w:r w:rsidRPr="00485A71">
        <w:rPr>
          <w:rFonts w:cs="Arial"/>
          <w:sz w:val="24"/>
          <w:szCs w:val="24"/>
        </w:rPr>
        <w:t xml:space="preserve">ederal </w:t>
      </w:r>
      <w:r>
        <w:rPr>
          <w:rFonts w:cs="Arial"/>
          <w:sz w:val="24"/>
          <w:szCs w:val="24"/>
        </w:rPr>
        <w:t xml:space="preserve">nº </w:t>
      </w:r>
      <w:r w:rsidRPr="00485A71">
        <w:rPr>
          <w:rFonts w:cs="Arial"/>
          <w:sz w:val="24"/>
          <w:szCs w:val="24"/>
        </w:rPr>
        <w:t>13.303</w:t>
      </w:r>
      <w:r>
        <w:rPr>
          <w:rFonts w:cs="Arial"/>
          <w:sz w:val="24"/>
          <w:szCs w:val="24"/>
        </w:rPr>
        <w:t>/2016</w:t>
      </w:r>
      <w:r w:rsidRPr="00485A71">
        <w:rPr>
          <w:rFonts w:cs="Arial"/>
          <w:sz w:val="24"/>
          <w:szCs w:val="24"/>
        </w:rPr>
        <w:t xml:space="preserve"> e no §4º do art. 1º do Decreto </w:t>
      </w:r>
      <w:r>
        <w:rPr>
          <w:rFonts w:cs="Arial"/>
          <w:sz w:val="24"/>
          <w:szCs w:val="24"/>
        </w:rPr>
        <w:t>nº</w:t>
      </w:r>
      <w:r w:rsidRPr="00485A71">
        <w:rPr>
          <w:rFonts w:cs="Arial"/>
          <w:sz w:val="24"/>
          <w:szCs w:val="24"/>
        </w:rPr>
        <w:t xml:space="preserve"> 1.007</w:t>
      </w:r>
      <w:r>
        <w:rPr>
          <w:rFonts w:cs="Arial"/>
          <w:sz w:val="24"/>
          <w:szCs w:val="24"/>
        </w:rPr>
        <w:t>/20</w:t>
      </w:r>
      <w:r w:rsidRPr="00485A71">
        <w:rPr>
          <w:rFonts w:cs="Arial"/>
          <w:sz w:val="24"/>
          <w:szCs w:val="24"/>
        </w:rPr>
        <w:t>16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deve</w:t>
      </w:r>
      <w:r>
        <w:rPr>
          <w:rFonts w:cs="Arial"/>
          <w:sz w:val="24"/>
          <w:szCs w:val="24"/>
        </w:rPr>
        <w:t>rá</w:t>
      </w:r>
      <w:r w:rsidRPr="00485A71">
        <w:rPr>
          <w:rFonts w:cs="Arial"/>
          <w:sz w:val="24"/>
          <w:szCs w:val="24"/>
        </w:rPr>
        <w:t xml:space="preserve"> adotar práticas de governança e controle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n</w:t>
      </w:r>
      <w:r>
        <w:rPr>
          <w:rFonts w:cs="Arial"/>
          <w:sz w:val="24"/>
          <w:szCs w:val="24"/>
        </w:rPr>
        <w:t xml:space="preserve">a forma </w:t>
      </w:r>
      <w:r w:rsidRPr="00485A71">
        <w:rPr>
          <w:rFonts w:cs="Arial"/>
          <w:sz w:val="24"/>
          <w:szCs w:val="24"/>
        </w:rPr>
        <w:t xml:space="preserve">do </w:t>
      </w:r>
      <w:r w:rsidRPr="00AE1B85">
        <w:rPr>
          <w:rFonts w:cs="Arial"/>
          <w:sz w:val="24"/>
          <w:szCs w:val="24"/>
        </w:rPr>
        <w:t>Anexo X</w:t>
      </w:r>
      <w:r>
        <w:rPr>
          <w:rFonts w:cs="Arial"/>
          <w:sz w:val="24"/>
          <w:szCs w:val="24"/>
        </w:rPr>
        <w:t>IX.</w:t>
      </w:r>
    </w:p>
    <w:p w:rsidR="00403F58" w:rsidRPr="00485A71" w:rsidRDefault="00403F58" w:rsidP="00403F58">
      <w:pPr>
        <w:pStyle w:val="Cabealho"/>
        <w:tabs>
          <w:tab w:val="clear" w:pos="4419"/>
          <w:tab w:val="center" w:pos="0"/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Art. 1</w:t>
      </w:r>
      <w:r>
        <w:rPr>
          <w:rFonts w:cs="Arial"/>
          <w:sz w:val="24"/>
          <w:szCs w:val="24"/>
        </w:rPr>
        <w:t xml:space="preserve">5. </w:t>
      </w:r>
      <w:r w:rsidRPr="00485A71">
        <w:rPr>
          <w:rFonts w:cs="Arial"/>
          <w:sz w:val="24"/>
          <w:szCs w:val="24"/>
        </w:rPr>
        <w:t xml:space="preserve">A empresa estatal deve adequar a escrituração, a elaboração das Demonstrações Financeiras e </w:t>
      </w:r>
      <w:r>
        <w:rPr>
          <w:rFonts w:cs="Arial"/>
          <w:sz w:val="24"/>
          <w:szCs w:val="24"/>
        </w:rPr>
        <w:t xml:space="preserve">as </w:t>
      </w:r>
      <w:r w:rsidRPr="00485A71">
        <w:rPr>
          <w:rFonts w:cs="Arial"/>
          <w:sz w:val="24"/>
          <w:szCs w:val="24"/>
        </w:rPr>
        <w:t>Notas Explicativas às Demonstrações Financeiras dos dados operacionais e financeiros, conforme o disposto no inciso VI do art</w:t>
      </w:r>
      <w:r>
        <w:rPr>
          <w:rFonts w:cs="Arial"/>
          <w:sz w:val="24"/>
          <w:szCs w:val="24"/>
        </w:rPr>
        <w:t>.</w:t>
      </w:r>
      <w:r w:rsidRPr="00485A71">
        <w:rPr>
          <w:rFonts w:cs="Arial"/>
          <w:sz w:val="24"/>
          <w:szCs w:val="24"/>
        </w:rPr>
        <w:t xml:space="preserve"> 8º da Lei Federal nº 13.303</w:t>
      </w:r>
      <w:r>
        <w:rPr>
          <w:rFonts w:cs="Arial"/>
          <w:sz w:val="24"/>
          <w:szCs w:val="24"/>
        </w:rPr>
        <w:t>/20</w:t>
      </w:r>
      <w:r w:rsidRPr="00485A71">
        <w:rPr>
          <w:rFonts w:cs="Arial"/>
          <w:sz w:val="24"/>
          <w:szCs w:val="24"/>
        </w:rPr>
        <w:t>16, na Lei Federal nº 6.404</w:t>
      </w:r>
      <w:r>
        <w:rPr>
          <w:rFonts w:cs="Arial"/>
          <w:sz w:val="24"/>
          <w:szCs w:val="24"/>
        </w:rPr>
        <w:t>/19</w:t>
      </w:r>
      <w:r w:rsidRPr="00485A71">
        <w:rPr>
          <w:rFonts w:cs="Arial"/>
          <w:sz w:val="24"/>
          <w:szCs w:val="24"/>
        </w:rPr>
        <w:t>76 e suas atualizações, nas Normas Brasileiras de Contabilidade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regulamentadas pelo Conselho Federal de Contabilidade – CFC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e determinações da Comissão de Valores Mobiliários – CVM.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Parágrafo Único</w:t>
      </w:r>
      <w:r>
        <w:rPr>
          <w:rFonts w:cs="Arial"/>
          <w:sz w:val="24"/>
          <w:szCs w:val="24"/>
        </w:rPr>
        <w:t>.</w:t>
      </w:r>
      <w:r w:rsidRPr="00485A71">
        <w:rPr>
          <w:rFonts w:cs="Arial"/>
          <w:sz w:val="24"/>
          <w:szCs w:val="24"/>
        </w:rPr>
        <w:t xml:space="preserve"> Os procedimentos para adequação das empresas estatais ao disposto na </w:t>
      </w:r>
      <w:r>
        <w:rPr>
          <w:rFonts w:cs="Arial"/>
          <w:sz w:val="24"/>
          <w:szCs w:val="24"/>
        </w:rPr>
        <w:t>L</w:t>
      </w:r>
      <w:r w:rsidRPr="00485A71">
        <w:rPr>
          <w:rFonts w:cs="Arial"/>
          <w:sz w:val="24"/>
          <w:szCs w:val="24"/>
        </w:rPr>
        <w:t xml:space="preserve">ei </w:t>
      </w:r>
      <w:r>
        <w:rPr>
          <w:rFonts w:cs="Arial"/>
          <w:sz w:val="24"/>
          <w:szCs w:val="24"/>
        </w:rPr>
        <w:t>F</w:t>
      </w:r>
      <w:r w:rsidRPr="00485A71">
        <w:rPr>
          <w:rFonts w:cs="Arial"/>
          <w:sz w:val="24"/>
          <w:szCs w:val="24"/>
        </w:rPr>
        <w:t xml:space="preserve">ederal </w:t>
      </w:r>
      <w:r>
        <w:rPr>
          <w:rFonts w:cs="Arial"/>
          <w:sz w:val="24"/>
          <w:szCs w:val="24"/>
        </w:rPr>
        <w:t xml:space="preserve">nº </w:t>
      </w:r>
      <w:r w:rsidRPr="00485A71">
        <w:rPr>
          <w:rFonts w:cs="Arial"/>
          <w:sz w:val="24"/>
          <w:szCs w:val="24"/>
        </w:rPr>
        <w:t>13.303/</w:t>
      </w:r>
      <w:r>
        <w:rPr>
          <w:rFonts w:cs="Arial"/>
          <w:sz w:val="24"/>
          <w:szCs w:val="24"/>
        </w:rPr>
        <w:t>20</w:t>
      </w:r>
      <w:r w:rsidRPr="00485A71">
        <w:rPr>
          <w:rFonts w:cs="Arial"/>
          <w:sz w:val="24"/>
          <w:szCs w:val="24"/>
        </w:rPr>
        <w:t xml:space="preserve">16 e </w:t>
      </w:r>
      <w:r>
        <w:rPr>
          <w:rFonts w:cs="Arial"/>
          <w:sz w:val="24"/>
          <w:szCs w:val="24"/>
        </w:rPr>
        <w:t>n</w:t>
      </w:r>
      <w:r w:rsidRPr="00485A71">
        <w:rPr>
          <w:rFonts w:cs="Arial"/>
          <w:sz w:val="24"/>
          <w:szCs w:val="24"/>
        </w:rPr>
        <w:t xml:space="preserve">o Decreto </w:t>
      </w:r>
      <w:r>
        <w:rPr>
          <w:rFonts w:cs="Arial"/>
          <w:sz w:val="24"/>
          <w:szCs w:val="24"/>
        </w:rPr>
        <w:t xml:space="preserve">nº </w:t>
      </w:r>
      <w:r w:rsidRPr="00485A71">
        <w:rPr>
          <w:rFonts w:cs="Arial"/>
          <w:sz w:val="24"/>
          <w:szCs w:val="24"/>
        </w:rPr>
        <w:t>1.007/</w:t>
      </w:r>
      <w:r>
        <w:rPr>
          <w:rFonts w:cs="Arial"/>
          <w:sz w:val="24"/>
          <w:szCs w:val="24"/>
        </w:rPr>
        <w:t>20</w:t>
      </w:r>
      <w:r w:rsidRPr="00485A71">
        <w:rPr>
          <w:rFonts w:cs="Arial"/>
          <w:sz w:val="24"/>
          <w:szCs w:val="24"/>
        </w:rPr>
        <w:t xml:space="preserve">16 </w:t>
      </w:r>
      <w:r>
        <w:rPr>
          <w:rFonts w:cs="Arial"/>
          <w:sz w:val="24"/>
          <w:szCs w:val="24"/>
        </w:rPr>
        <w:t xml:space="preserve">se encontram </w:t>
      </w:r>
      <w:r w:rsidRPr="00485A71">
        <w:rPr>
          <w:rFonts w:cs="Arial"/>
          <w:sz w:val="24"/>
          <w:szCs w:val="24"/>
        </w:rPr>
        <w:t xml:space="preserve">no </w:t>
      </w:r>
      <w:r w:rsidRPr="00AE1B85">
        <w:rPr>
          <w:rFonts w:cs="Arial"/>
          <w:sz w:val="24"/>
          <w:szCs w:val="24"/>
        </w:rPr>
        <w:t>Anexo XX</w:t>
      </w:r>
      <w:r>
        <w:rPr>
          <w:rFonts w:cs="Arial"/>
          <w:sz w:val="24"/>
          <w:szCs w:val="24"/>
        </w:rPr>
        <w:t>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Art. 1</w:t>
      </w:r>
      <w:r>
        <w:rPr>
          <w:rFonts w:cs="Arial"/>
          <w:sz w:val="24"/>
          <w:szCs w:val="24"/>
        </w:rPr>
        <w:t>6.</w:t>
      </w:r>
      <w:r w:rsidRPr="00485A7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 modelo de referência do Regulamento de Licitações e Contratos das empresas estatais</w:t>
      </w:r>
      <w:r w:rsidRPr="00485A71">
        <w:rPr>
          <w:rFonts w:cs="Arial"/>
          <w:sz w:val="24"/>
          <w:szCs w:val="24"/>
        </w:rPr>
        <w:t xml:space="preserve">, em atendimento ao Título II da Lei </w:t>
      </w:r>
      <w:r>
        <w:rPr>
          <w:rFonts w:cs="Arial"/>
          <w:sz w:val="24"/>
          <w:szCs w:val="24"/>
        </w:rPr>
        <w:t>F</w:t>
      </w:r>
      <w:r w:rsidRPr="00485A71">
        <w:rPr>
          <w:rFonts w:cs="Arial"/>
          <w:sz w:val="24"/>
          <w:szCs w:val="24"/>
        </w:rPr>
        <w:t xml:space="preserve">ederal </w:t>
      </w:r>
      <w:r>
        <w:rPr>
          <w:rFonts w:cs="Arial"/>
          <w:sz w:val="24"/>
          <w:szCs w:val="24"/>
        </w:rPr>
        <w:t xml:space="preserve">nº </w:t>
      </w:r>
      <w:r w:rsidRPr="00485A71">
        <w:rPr>
          <w:rFonts w:cs="Arial"/>
          <w:sz w:val="24"/>
          <w:szCs w:val="24"/>
        </w:rPr>
        <w:t>13.303</w:t>
      </w:r>
      <w:r>
        <w:rPr>
          <w:rFonts w:cs="Arial"/>
          <w:sz w:val="24"/>
          <w:szCs w:val="24"/>
        </w:rPr>
        <w:t>/20</w:t>
      </w:r>
      <w:r w:rsidRPr="00485A71">
        <w:rPr>
          <w:rFonts w:cs="Arial"/>
          <w:sz w:val="24"/>
          <w:szCs w:val="24"/>
        </w:rPr>
        <w:t xml:space="preserve">16 e Capitulo III do Decreto </w:t>
      </w:r>
      <w:r>
        <w:rPr>
          <w:rFonts w:cs="Arial"/>
          <w:sz w:val="24"/>
          <w:szCs w:val="24"/>
        </w:rPr>
        <w:t xml:space="preserve">nº </w:t>
      </w:r>
      <w:r w:rsidRPr="00485A71">
        <w:rPr>
          <w:rFonts w:cs="Arial"/>
          <w:sz w:val="24"/>
          <w:szCs w:val="24"/>
        </w:rPr>
        <w:t>1.007</w:t>
      </w:r>
      <w:r>
        <w:rPr>
          <w:rFonts w:cs="Arial"/>
          <w:sz w:val="24"/>
          <w:szCs w:val="24"/>
        </w:rPr>
        <w:t>/20</w:t>
      </w:r>
      <w:r w:rsidRPr="00485A71">
        <w:rPr>
          <w:rFonts w:cs="Arial"/>
          <w:sz w:val="24"/>
          <w:szCs w:val="24"/>
        </w:rPr>
        <w:t>16,</w:t>
      </w:r>
      <w:r>
        <w:rPr>
          <w:rFonts w:cs="Arial"/>
          <w:sz w:val="24"/>
          <w:szCs w:val="24"/>
        </w:rPr>
        <w:t xml:space="preserve"> se encontra no </w:t>
      </w:r>
      <w:r w:rsidRPr="00AE1B85">
        <w:rPr>
          <w:rFonts w:cs="Arial"/>
          <w:sz w:val="24"/>
          <w:szCs w:val="24"/>
        </w:rPr>
        <w:t>Anexo XX</w:t>
      </w:r>
      <w:r>
        <w:rPr>
          <w:rFonts w:cs="Arial"/>
          <w:sz w:val="24"/>
          <w:szCs w:val="24"/>
        </w:rPr>
        <w:t>I</w:t>
      </w:r>
      <w:r w:rsidRPr="0073161A">
        <w:rPr>
          <w:rFonts w:cs="Arial"/>
          <w:sz w:val="24"/>
          <w:szCs w:val="24"/>
        </w:rPr>
        <w:t>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Art. 1</w:t>
      </w:r>
      <w:r>
        <w:rPr>
          <w:rFonts w:cs="Arial"/>
          <w:sz w:val="24"/>
          <w:szCs w:val="24"/>
        </w:rPr>
        <w:t xml:space="preserve">7. </w:t>
      </w:r>
      <w:r w:rsidRPr="00485A71">
        <w:rPr>
          <w:rFonts w:cs="Arial"/>
          <w:sz w:val="24"/>
          <w:szCs w:val="24"/>
        </w:rPr>
        <w:t>A transparência dos atos de gestão é um dever da empresa estatal e uma prática de governança que</w:t>
      </w:r>
      <w:r>
        <w:rPr>
          <w:rFonts w:cs="Arial"/>
          <w:sz w:val="24"/>
          <w:szCs w:val="24"/>
        </w:rPr>
        <w:t xml:space="preserve"> deve </w:t>
      </w:r>
      <w:r w:rsidRPr="00485A71">
        <w:rPr>
          <w:rFonts w:cs="Arial"/>
          <w:sz w:val="24"/>
          <w:szCs w:val="24"/>
        </w:rPr>
        <w:t>atende</w:t>
      </w:r>
      <w:r>
        <w:rPr>
          <w:rFonts w:cs="Arial"/>
          <w:sz w:val="24"/>
          <w:szCs w:val="24"/>
        </w:rPr>
        <w:t>r</w:t>
      </w:r>
      <w:r w:rsidRPr="00485A71">
        <w:rPr>
          <w:rFonts w:cs="Arial"/>
          <w:sz w:val="24"/>
          <w:szCs w:val="24"/>
        </w:rPr>
        <w:t xml:space="preserve"> aos requisitos da </w:t>
      </w:r>
      <w:r w:rsidRPr="00485A71">
        <w:rPr>
          <w:rFonts w:cs="Arial"/>
          <w:sz w:val="24"/>
          <w:szCs w:val="24"/>
        </w:rPr>
        <w:lastRenderedPageBreak/>
        <w:t xml:space="preserve">Lei </w:t>
      </w:r>
      <w:r>
        <w:rPr>
          <w:rFonts w:cs="Arial"/>
          <w:sz w:val="24"/>
          <w:szCs w:val="24"/>
        </w:rPr>
        <w:t>F</w:t>
      </w:r>
      <w:r w:rsidRPr="00485A71">
        <w:rPr>
          <w:rFonts w:cs="Arial"/>
          <w:sz w:val="24"/>
          <w:szCs w:val="24"/>
        </w:rPr>
        <w:t>ederal</w:t>
      </w:r>
      <w:r>
        <w:rPr>
          <w:rFonts w:cs="Arial"/>
          <w:sz w:val="24"/>
          <w:szCs w:val="24"/>
        </w:rPr>
        <w:t xml:space="preserve"> nº</w:t>
      </w:r>
      <w:r w:rsidRPr="00485A71">
        <w:rPr>
          <w:rFonts w:cs="Arial"/>
          <w:sz w:val="24"/>
          <w:szCs w:val="24"/>
        </w:rPr>
        <w:t xml:space="preserve"> 13.303</w:t>
      </w:r>
      <w:r>
        <w:rPr>
          <w:rFonts w:cs="Arial"/>
          <w:sz w:val="24"/>
          <w:szCs w:val="24"/>
        </w:rPr>
        <w:t>/20</w:t>
      </w:r>
      <w:r w:rsidRPr="00485A71">
        <w:rPr>
          <w:rFonts w:cs="Arial"/>
          <w:sz w:val="24"/>
          <w:szCs w:val="24"/>
        </w:rPr>
        <w:t xml:space="preserve">16 e do Decreto </w:t>
      </w:r>
      <w:r>
        <w:rPr>
          <w:rFonts w:cs="Arial"/>
          <w:sz w:val="24"/>
          <w:szCs w:val="24"/>
        </w:rPr>
        <w:t xml:space="preserve">nº </w:t>
      </w:r>
      <w:r w:rsidRPr="00485A71">
        <w:rPr>
          <w:rFonts w:cs="Arial"/>
          <w:sz w:val="24"/>
          <w:szCs w:val="24"/>
        </w:rPr>
        <w:t>1.007</w:t>
      </w:r>
      <w:r>
        <w:rPr>
          <w:rFonts w:cs="Arial"/>
          <w:sz w:val="24"/>
          <w:szCs w:val="24"/>
        </w:rPr>
        <w:t>/20</w:t>
      </w:r>
      <w:r w:rsidRPr="00485A71">
        <w:rPr>
          <w:rFonts w:cs="Arial"/>
          <w:sz w:val="24"/>
          <w:szCs w:val="24"/>
        </w:rPr>
        <w:t>16.</w:t>
      </w: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 xml:space="preserve">§1º Para que a sociedade e os órgãos de controle tenham acesso à informação de forma clara e objetiva, recomenda-se à empresa estatal que o portal de acesso esteja estruturado em conformidade com o projeto de Padronização dos Portais da Transparência de Empresas Estatais, nos termos do </w:t>
      </w:r>
      <w:r w:rsidRPr="00AE1B85">
        <w:rPr>
          <w:rFonts w:cs="Arial"/>
          <w:sz w:val="24"/>
          <w:szCs w:val="24"/>
        </w:rPr>
        <w:t>Anexo XX</w:t>
      </w:r>
      <w:r>
        <w:rPr>
          <w:rFonts w:cs="Arial"/>
          <w:sz w:val="24"/>
          <w:szCs w:val="24"/>
        </w:rPr>
        <w:t>I</w:t>
      </w:r>
      <w:r w:rsidRPr="00AE1B85">
        <w:rPr>
          <w:rFonts w:cs="Arial"/>
          <w:sz w:val="24"/>
          <w:szCs w:val="24"/>
        </w:rPr>
        <w:t>I</w:t>
      </w:r>
      <w:r w:rsidRPr="0073161A"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respeitando</w:t>
      </w:r>
      <w:r>
        <w:rPr>
          <w:rFonts w:cs="Arial"/>
          <w:sz w:val="24"/>
          <w:szCs w:val="24"/>
        </w:rPr>
        <w:t>-se</w:t>
      </w:r>
      <w:r w:rsidRPr="00485A71">
        <w:rPr>
          <w:rFonts w:cs="Arial"/>
          <w:sz w:val="24"/>
          <w:szCs w:val="24"/>
        </w:rPr>
        <w:t xml:space="preserve"> as especificidades de cada empresa estatal.</w:t>
      </w:r>
    </w:p>
    <w:p w:rsidR="00403F58" w:rsidRP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widowControl/>
        <w:autoSpaceDE w:val="0"/>
        <w:autoSpaceDN w:val="0"/>
        <w:adjustRightInd w:val="0"/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§2º</w:t>
      </w:r>
      <w:r>
        <w:rPr>
          <w:rFonts w:cs="Arial"/>
          <w:sz w:val="24"/>
          <w:szCs w:val="24"/>
        </w:rPr>
        <w:t xml:space="preserve"> </w:t>
      </w:r>
      <w:r w:rsidRPr="00485A71">
        <w:rPr>
          <w:rFonts w:cs="Arial"/>
          <w:sz w:val="24"/>
          <w:szCs w:val="24"/>
        </w:rPr>
        <w:t xml:space="preserve">Além das informações </w:t>
      </w:r>
      <w:r>
        <w:rPr>
          <w:rFonts w:cs="Arial"/>
          <w:sz w:val="24"/>
          <w:szCs w:val="24"/>
        </w:rPr>
        <w:t>previstas no Anexo XXII</w:t>
      </w:r>
      <w:r w:rsidRPr="00485A71">
        <w:rPr>
          <w:rFonts w:cs="Arial"/>
          <w:sz w:val="24"/>
          <w:szCs w:val="24"/>
        </w:rPr>
        <w:t>, destacam-se algumas recomendações</w:t>
      </w:r>
      <w:r>
        <w:rPr>
          <w:rFonts w:cs="Arial"/>
          <w:sz w:val="24"/>
          <w:szCs w:val="24"/>
        </w:rPr>
        <w:t>,</w:t>
      </w:r>
      <w:r w:rsidRPr="00485A71">
        <w:rPr>
          <w:rFonts w:cs="Arial"/>
          <w:sz w:val="24"/>
          <w:szCs w:val="24"/>
        </w:rPr>
        <w:t xml:space="preserve"> com vistas a </w:t>
      </w:r>
      <w:r>
        <w:rPr>
          <w:rFonts w:cs="Arial"/>
          <w:sz w:val="24"/>
          <w:szCs w:val="24"/>
        </w:rPr>
        <w:t>aprimorar</w:t>
      </w:r>
      <w:r w:rsidRPr="00485A71">
        <w:rPr>
          <w:rFonts w:cs="Arial"/>
          <w:sz w:val="24"/>
          <w:szCs w:val="24"/>
        </w:rPr>
        <w:t xml:space="preserve"> o pr</w:t>
      </w:r>
      <w:r>
        <w:rPr>
          <w:rFonts w:cs="Arial"/>
          <w:sz w:val="24"/>
          <w:szCs w:val="24"/>
        </w:rPr>
        <w:t xml:space="preserve">ocesso de transparência </w:t>
      </w:r>
      <w:r w:rsidRPr="00485A71">
        <w:rPr>
          <w:rFonts w:cs="Arial"/>
          <w:sz w:val="24"/>
          <w:szCs w:val="24"/>
        </w:rPr>
        <w:t>nas empresas</w:t>
      </w:r>
      <w:r>
        <w:rPr>
          <w:rFonts w:cs="Arial"/>
          <w:sz w:val="24"/>
          <w:szCs w:val="24"/>
        </w:rPr>
        <w:t xml:space="preserve"> estatais:</w:t>
      </w:r>
    </w:p>
    <w:p w:rsidR="00403F58" w:rsidRDefault="00403F58" w:rsidP="00403F58">
      <w:pPr>
        <w:widowControl/>
        <w:autoSpaceDE w:val="0"/>
        <w:autoSpaceDN w:val="0"/>
        <w:adjustRightInd w:val="0"/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widowControl/>
        <w:autoSpaceDE w:val="0"/>
        <w:autoSpaceDN w:val="0"/>
        <w:adjustRightInd w:val="0"/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 - </w:t>
      </w:r>
      <w:r w:rsidRPr="00485A71">
        <w:rPr>
          <w:rFonts w:cs="Arial"/>
          <w:sz w:val="24"/>
          <w:szCs w:val="24"/>
        </w:rPr>
        <w:t>Responsabilidade pela T</w:t>
      </w:r>
      <w:r>
        <w:rPr>
          <w:rFonts w:cs="Arial"/>
          <w:sz w:val="24"/>
          <w:szCs w:val="24"/>
        </w:rPr>
        <w:t>ransparência Ativa: recomendável</w:t>
      </w:r>
      <w:r w:rsidRPr="00485A71">
        <w:rPr>
          <w:rFonts w:cs="Arial"/>
          <w:sz w:val="24"/>
          <w:szCs w:val="24"/>
        </w:rPr>
        <w:t xml:space="preserve"> que as empresas definam uma área ou comissão para trabalhar com a transparência ativa das empresas, de modo a produzir e manter novas informações nos portais da transparência, sendo um elo de interação com as áreas de negócio e d</w:t>
      </w:r>
      <w:r>
        <w:rPr>
          <w:rFonts w:cs="Arial"/>
          <w:sz w:val="24"/>
          <w:szCs w:val="24"/>
        </w:rPr>
        <w:t>e Tecnologia de Informação (TI); e</w:t>
      </w:r>
    </w:p>
    <w:p w:rsidR="00403F58" w:rsidRPr="00485A71" w:rsidRDefault="00403F58" w:rsidP="00403F58">
      <w:pPr>
        <w:widowControl/>
        <w:autoSpaceDE w:val="0"/>
        <w:autoSpaceDN w:val="0"/>
        <w:adjustRightInd w:val="0"/>
        <w:ind w:left="2552"/>
        <w:jc w:val="both"/>
        <w:rPr>
          <w:rFonts w:cs="Arial"/>
          <w:sz w:val="24"/>
          <w:szCs w:val="24"/>
        </w:rPr>
      </w:pPr>
    </w:p>
    <w:p w:rsidR="00403F58" w:rsidRPr="004B5A96" w:rsidRDefault="00403F58" w:rsidP="00403F58">
      <w:pPr>
        <w:widowControl/>
        <w:autoSpaceDE w:val="0"/>
        <w:autoSpaceDN w:val="0"/>
        <w:adjustRightInd w:val="0"/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II - </w:t>
      </w:r>
      <w:r w:rsidRPr="00485A71">
        <w:rPr>
          <w:rFonts w:cs="Arial"/>
          <w:sz w:val="24"/>
          <w:szCs w:val="24"/>
        </w:rPr>
        <w:t>Estrutura de Tecno</w:t>
      </w:r>
      <w:r>
        <w:rPr>
          <w:rFonts w:cs="Arial"/>
          <w:sz w:val="24"/>
          <w:szCs w:val="24"/>
        </w:rPr>
        <w:t xml:space="preserve">logia de Informação: recomendável </w:t>
      </w:r>
      <w:r w:rsidRPr="00485A71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os gestores que sejam avaliad</w:t>
      </w:r>
      <w:r w:rsidRPr="00485A71">
        <w:rPr>
          <w:rFonts w:cs="Arial"/>
          <w:sz w:val="24"/>
          <w:szCs w:val="24"/>
        </w:rPr>
        <w:t>as</w:t>
      </w:r>
      <w:r>
        <w:rPr>
          <w:rFonts w:cs="Arial"/>
          <w:sz w:val="24"/>
          <w:szCs w:val="24"/>
        </w:rPr>
        <w:t xml:space="preserve"> as</w:t>
      </w:r>
      <w:r w:rsidRPr="00485A71">
        <w:rPr>
          <w:rFonts w:cs="Arial"/>
          <w:sz w:val="24"/>
          <w:szCs w:val="24"/>
        </w:rPr>
        <w:t xml:space="preserve"> estruturas de tecnologia de informação, tanto em nível de pessoal como de equipamentos, para que possam atender </w:t>
      </w:r>
      <w:r>
        <w:rPr>
          <w:rFonts w:cs="Arial"/>
          <w:sz w:val="24"/>
          <w:szCs w:val="24"/>
        </w:rPr>
        <w:t>à</w:t>
      </w:r>
      <w:r w:rsidRPr="00485A71">
        <w:rPr>
          <w:rFonts w:cs="Arial"/>
          <w:sz w:val="24"/>
          <w:szCs w:val="24"/>
        </w:rPr>
        <w:t>s demandas dos portais de transparência, não apenas neste processo de implantação, mas também na manutenção e evolução posterior deste importante instrumento de controle social.</w:t>
      </w:r>
    </w:p>
    <w:p w:rsidR="00403F58" w:rsidRPr="00485A71" w:rsidRDefault="00403F58" w:rsidP="00403F58">
      <w:pPr>
        <w:pStyle w:val="Cabealho"/>
        <w:tabs>
          <w:tab w:val="clear" w:pos="4419"/>
          <w:tab w:val="clear" w:pos="8838"/>
          <w:tab w:val="right" w:pos="2552"/>
        </w:tabs>
        <w:ind w:left="2552"/>
        <w:jc w:val="both"/>
        <w:rPr>
          <w:rFonts w:cs="Arial"/>
          <w:sz w:val="24"/>
          <w:szCs w:val="24"/>
        </w:rPr>
      </w:pPr>
    </w:p>
    <w:p w:rsidR="00403F58" w:rsidRPr="001509F3" w:rsidRDefault="00403F58" w:rsidP="00403F58">
      <w:pPr>
        <w:pStyle w:val="Cabealho"/>
        <w:tabs>
          <w:tab w:val="left" w:pos="708"/>
        </w:tabs>
        <w:jc w:val="center"/>
        <w:rPr>
          <w:rFonts w:cs="Arial"/>
          <w:b/>
          <w:sz w:val="24"/>
          <w:szCs w:val="24"/>
        </w:rPr>
      </w:pPr>
      <w:r w:rsidRPr="001509F3">
        <w:rPr>
          <w:rFonts w:cs="Arial"/>
          <w:b/>
          <w:sz w:val="24"/>
          <w:szCs w:val="24"/>
        </w:rPr>
        <w:t>CAPÍTULO III</w:t>
      </w:r>
    </w:p>
    <w:p w:rsidR="00403F58" w:rsidRPr="001509F3" w:rsidRDefault="00403F58" w:rsidP="00403F58">
      <w:pPr>
        <w:pStyle w:val="Cabealho"/>
        <w:tabs>
          <w:tab w:val="left" w:pos="708"/>
        </w:tabs>
        <w:jc w:val="center"/>
        <w:rPr>
          <w:rFonts w:cs="Arial"/>
          <w:b/>
          <w:sz w:val="24"/>
          <w:szCs w:val="24"/>
        </w:rPr>
      </w:pPr>
      <w:r w:rsidRPr="001509F3">
        <w:rPr>
          <w:rFonts w:cs="Arial"/>
          <w:b/>
          <w:sz w:val="24"/>
          <w:szCs w:val="24"/>
        </w:rPr>
        <w:t xml:space="preserve">DAS DISPOSIÇÕES </w:t>
      </w:r>
      <w:r>
        <w:rPr>
          <w:rFonts w:cs="Arial"/>
          <w:b/>
          <w:sz w:val="24"/>
          <w:szCs w:val="24"/>
        </w:rPr>
        <w:t xml:space="preserve">FINAIS E </w:t>
      </w:r>
      <w:r w:rsidRPr="001509F3">
        <w:rPr>
          <w:rFonts w:cs="Arial"/>
          <w:b/>
          <w:sz w:val="24"/>
          <w:szCs w:val="24"/>
        </w:rPr>
        <w:t>TRANSITÓRIAS</w:t>
      </w:r>
    </w:p>
    <w:p w:rsidR="00403F58" w:rsidRDefault="00403F58" w:rsidP="00403F58">
      <w:pPr>
        <w:ind w:firstLine="2552"/>
        <w:jc w:val="both"/>
        <w:rPr>
          <w:rFonts w:cs="Arial"/>
          <w:sz w:val="24"/>
          <w:szCs w:val="24"/>
        </w:rPr>
      </w:pPr>
    </w:p>
    <w:p w:rsidR="00403F58" w:rsidRPr="00DD522A" w:rsidRDefault="00403F58" w:rsidP="00403F58">
      <w:pPr>
        <w:ind w:firstLine="2552"/>
        <w:jc w:val="both"/>
        <w:rPr>
          <w:rFonts w:cs="Arial"/>
          <w:sz w:val="24"/>
          <w:szCs w:val="24"/>
        </w:rPr>
      </w:pPr>
      <w:r w:rsidRPr="00DD522A">
        <w:rPr>
          <w:rFonts w:cs="Arial"/>
          <w:sz w:val="24"/>
          <w:szCs w:val="24"/>
        </w:rPr>
        <w:t>Art. 18. O treinamento a que se refere o art. 8º do Decreto nº 1.484/2018, para administradores das empresas estatais de grande porte, poderá ser dividido em curso de certificação na posse, e de atualização anualmente, contendo, no mínimo, os seguintes temas:</w:t>
      </w:r>
    </w:p>
    <w:p w:rsidR="00403F58" w:rsidRPr="00CE69AC" w:rsidRDefault="00403F58" w:rsidP="00403F58">
      <w:pPr>
        <w:ind w:firstLine="2552"/>
        <w:jc w:val="both"/>
        <w:rPr>
          <w:rFonts w:cs="Arial"/>
          <w:sz w:val="24"/>
          <w:szCs w:val="24"/>
        </w:rPr>
      </w:pPr>
    </w:p>
    <w:p w:rsidR="00403F58" w:rsidRPr="00CE69AC" w:rsidRDefault="00403F58" w:rsidP="00403F58">
      <w:pPr>
        <w:ind w:firstLine="2552"/>
        <w:jc w:val="both"/>
        <w:rPr>
          <w:rFonts w:cs="Arial"/>
          <w:sz w:val="24"/>
          <w:szCs w:val="24"/>
        </w:rPr>
      </w:pPr>
      <w:r w:rsidRPr="00CE69AC">
        <w:rPr>
          <w:rFonts w:cs="Arial"/>
          <w:spacing w:val="-2"/>
          <w:sz w:val="24"/>
          <w:szCs w:val="24"/>
        </w:rPr>
        <w:t>I – Orientação Técnica e Formação em Governança Corporativa</w:t>
      </w:r>
      <w:r>
        <w:rPr>
          <w:rFonts w:cs="Arial"/>
          <w:spacing w:val="-2"/>
          <w:sz w:val="24"/>
          <w:szCs w:val="24"/>
        </w:rPr>
        <w:t>, que abrangerá, inclusive, a divulgação de informações, o controle interno e o código de conduta</w:t>
      </w:r>
      <w:r w:rsidRPr="00CE69AC">
        <w:rPr>
          <w:rFonts w:cs="Arial"/>
          <w:spacing w:val="-2"/>
          <w:sz w:val="24"/>
          <w:szCs w:val="24"/>
        </w:rPr>
        <w:t>;</w:t>
      </w:r>
    </w:p>
    <w:p w:rsidR="00403F58" w:rsidRPr="00CE69AC" w:rsidRDefault="00403F58" w:rsidP="00403F58">
      <w:pPr>
        <w:ind w:firstLine="2552"/>
        <w:jc w:val="both"/>
        <w:rPr>
          <w:rFonts w:cs="Arial"/>
          <w:sz w:val="24"/>
          <w:szCs w:val="24"/>
        </w:rPr>
      </w:pPr>
    </w:p>
    <w:p w:rsidR="00403F58" w:rsidRPr="00CE69AC" w:rsidRDefault="00403F58" w:rsidP="00403F58">
      <w:pPr>
        <w:ind w:firstLine="2552"/>
        <w:jc w:val="both"/>
        <w:rPr>
          <w:rFonts w:cs="Arial"/>
          <w:sz w:val="24"/>
          <w:szCs w:val="24"/>
        </w:rPr>
      </w:pPr>
      <w:r w:rsidRPr="00CE69AC">
        <w:rPr>
          <w:rFonts w:cs="Arial"/>
          <w:sz w:val="24"/>
          <w:szCs w:val="24"/>
        </w:rPr>
        <w:t>II – Legislação Societária e Mercado de Capitais; e</w:t>
      </w:r>
    </w:p>
    <w:p w:rsidR="00403F58" w:rsidRPr="00CE69AC" w:rsidRDefault="00403F58" w:rsidP="00403F58">
      <w:pPr>
        <w:ind w:firstLine="2552"/>
        <w:jc w:val="both"/>
        <w:rPr>
          <w:rFonts w:cs="Arial"/>
          <w:sz w:val="24"/>
          <w:szCs w:val="24"/>
        </w:rPr>
      </w:pPr>
    </w:p>
    <w:p w:rsidR="00403F58" w:rsidRPr="00CE69AC" w:rsidRDefault="00403F58" w:rsidP="00403F58">
      <w:pPr>
        <w:ind w:firstLine="2552"/>
        <w:jc w:val="both"/>
        <w:rPr>
          <w:rFonts w:cs="Arial"/>
          <w:sz w:val="24"/>
          <w:szCs w:val="24"/>
        </w:rPr>
      </w:pPr>
      <w:r w:rsidRPr="00CE69AC">
        <w:rPr>
          <w:rFonts w:cs="Arial"/>
          <w:sz w:val="24"/>
          <w:szCs w:val="24"/>
        </w:rPr>
        <w:t xml:space="preserve">III – Lei </w:t>
      </w:r>
      <w:r>
        <w:rPr>
          <w:rFonts w:cs="Arial"/>
          <w:sz w:val="24"/>
          <w:szCs w:val="24"/>
        </w:rPr>
        <w:t>F</w:t>
      </w:r>
      <w:r w:rsidRPr="00CE69AC">
        <w:rPr>
          <w:rFonts w:cs="Arial"/>
          <w:sz w:val="24"/>
          <w:szCs w:val="24"/>
        </w:rPr>
        <w:t>ederal nº 12.846, de 1º de agosto de 2013.</w:t>
      </w:r>
    </w:p>
    <w:p w:rsidR="00403F58" w:rsidRPr="00CE69AC" w:rsidRDefault="00403F58" w:rsidP="00403F58">
      <w:pPr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ind w:firstLine="2552"/>
        <w:jc w:val="both"/>
        <w:rPr>
          <w:rFonts w:cs="Arial"/>
          <w:sz w:val="24"/>
          <w:szCs w:val="24"/>
        </w:rPr>
      </w:pPr>
      <w:r w:rsidRPr="00CE69AC">
        <w:rPr>
          <w:rFonts w:cs="Arial"/>
          <w:sz w:val="24"/>
          <w:szCs w:val="24"/>
        </w:rPr>
        <w:t>§1º A partir da posse dos administradores lhes será concedido o prazo de 180 (cento e oitenta) dias para apresentação do certificado de conclusão do treinamento, sob pena de destituição.</w:t>
      </w:r>
    </w:p>
    <w:p w:rsidR="00403F58" w:rsidRDefault="00403F58" w:rsidP="00403F58">
      <w:pPr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§2º</w:t>
      </w:r>
      <w:r w:rsidRPr="00CE69AC">
        <w:rPr>
          <w:rFonts w:cs="Arial"/>
          <w:sz w:val="24"/>
          <w:szCs w:val="24"/>
        </w:rPr>
        <w:t xml:space="preserve"> Compete à Fundação Escola de Governo (ENA) o oferecimento dos treinamentos </w:t>
      </w:r>
      <w:r>
        <w:rPr>
          <w:rFonts w:cs="Arial"/>
          <w:sz w:val="24"/>
          <w:szCs w:val="24"/>
        </w:rPr>
        <w:t xml:space="preserve">e a expedição dos correspondentes certificados, </w:t>
      </w:r>
      <w:r w:rsidRPr="00CE69AC">
        <w:rPr>
          <w:rFonts w:cs="Arial"/>
          <w:sz w:val="24"/>
          <w:szCs w:val="24"/>
        </w:rPr>
        <w:t>previstos</w:t>
      </w:r>
      <w:r>
        <w:rPr>
          <w:rFonts w:cs="Arial"/>
          <w:sz w:val="24"/>
          <w:szCs w:val="24"/>
        </w:rPr>
        <w:t xml:space="preserve"> neste artigo, conforme Anexo XXIV.</w:t>
      </w:r>
    </w:p>
    <w:p w:rsidR="00403F58" w:rsidRDefault="00403F58" w:rsidP="00403F58">
      <w:pPr>
        <w:ind w:firstLine="2552"/>
        <w:jc w:val="both"/>
        <w:rPr>
          <w:rFonts w:cs="Arial"/>
          <w:sz w:val="24"/>
          <w:szCs w:val="24"/>
        </w:rPr>
      </w:pPr>
    </w:p>
    <w:p w:rsidR="00403F58" w:rsidRPr="00CE69AC" w:rsidRDefault="00403F58" w:rsidP="00403F58">
      <w:pPr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§3º </w:t>
      </w:r>
      <w:r w:rsidRPr="00CE69AC">
        <w:rPr>
          <w:rFonts w:cs="Arial"/>
          <w:sz w:val="24"/>
          <w:szCs w:val="24"/>
        </w:rPr>
        <w:t xml:space="preserve">Excepcionalmente, poderão ser aceitos certificados expedidos por outras instituições para os fins previstos </w:t>
      </w:r>
      <w:r>
        <w:rPr>
          <w:rFonts w:cs="Arial"/>
          <w:sz w:val="24"/>
          <w:szCs w:val="24"/>
        </w:rPr>
        <w:t>nesta Instrução Normativa,</w:t>
      </w:r>
      <w:r w:rsidRPr="00CE69AC">
        <w:rPr>
          <w:rFonts w:cs="Arial"/>
          <w:sz w:val="24"/>
          <w:szCs w:val="24"/>
        </w:rPr>
        <w:t xml:space="preserve"> desde que sejam validados pelo Conselho Superior da Fundação ENA.</w:t>
      </w:r>
    </w:p>
    <w:p w:rsidR="00403F58" w:rsidRPr="00CE69AC" w:rsidRDefault="00403F58" w:rsidP="00403F58">
      <w:pPr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 w:rsidRPr="00ED4DBB">
        <w:rPr>
          <w:rFonts w:cs="Arial"/>
          <w:sz w:val="24"/>
          <w:szCs w:val="24"/>
        </w:rPr>
        <w:t xml:space="preserve">Art. </w:t>
      </w:r>
      <w:r>
        <w:rPr>
          <w:rFonts w:cs="Arial"/>
          <w:sz w:val="24"/>
          <w:szCs w:val="24"/>
        </w:rPr>
        <w:t xml:space="preserve">19. Compete à Assembleia Geral e ao Conselho de Administração de cada empresa estatal, conforme a natureza da matéria, deliberar acerca da aprovação e instituição dos modelos de referência, </w:t>
      </w:r>
      <w:r w:rsidRPr="00ED4DBB">
        <w:rPr>
          <w:rFonts w:cs="Arial"/>
          <w:sz w:val="24"/>
          <w:szCs w:val="24"/>
        </w:rPr>
        <w:t xml:space="preserve">respeitados os prazos previstos no art. 91 da Lei </w:t>
      </w:r>
      <w:r>
        <w:rPr>
          <w:rFonts w:cs="Arial"/>
          <w:sz w:val="24"/>
          <w:szCs w:val="24"/>
        </w:rPr>
        <w:t>F</w:t>
      </w:r>
      <w:r w:rsidRPr="00ED4DBB">
        <w:rPr>
          <w:rFonts w:cs="Arial"/>
          <w:sz w:val="24"/>
          <w:szCs w:val="24"/>
        </w:rPr>
        <w:t xml:space="preserve">ederal </w:t>
      </w:r>
      <w:r>
        <w:rPr>
          <w:rFonts w:cs="Arial"/>
          <w:sz w:val="24"/>
          <w:szCs w:val="24"/>
        </w:rPr>
        <w:t xml:space="preserve">nº </w:t>
      </w:r>
      <w:r w:rsidRPr="00ED4DBB">
        <w:rPr>
          <w:rFonts w:cs="Arial"/>
          <w:sz w:val="24"/>
          <w:szCs w:val="24"/>
        </w:rPr>
        <w:t>13.303</w:t>
      </w:r>
      <w:r>
        <w:rPr>
          <w:rFonts w:cs="Arial"/>
          <w:sz w:val="24"/>
          <w:szCs w:val="24"/>
        </w:rPr>
        <w:t>/20</w:t>
      </w:r>
      <w:r w:rsidRPr="00ED4DBB">
        <w:rPr>
          <w:rFonts w:cs="Arial"/>
          <w:sz w:val="24"/>
          <w:szCs w:val="24"/>
        </w:rPr>
        <w:t xml:space="preserve">16 e no art. 19 do Decreto </w:t>
      </w:r>
      <w:r>
        <w:rPr>
          <w:rFonts w:cs="Arial"/>
          <w:sz w:val="24"/>
          <w:szCs w:val="24"/>
        </w:rPr>
        <w:t xml:space="preserve">nº </w:t>
      </w:r>
      <w:r w:rsidRPr="00ED4DBB">
        <w:rPr>
          <w:rFonts w:cs="Arial"/>
          <w:sz w:val="24"/>
          <w:szCs w:val="24"/>
        </w:rPr>
        <w:t>1.007</w:t>
      </w:r>
      <w:r>
        <w:rPr>
          <w:rFonts w:cs="Arial"/>
          <w:sz w:val="24"/>
          <w:szCs w:val="24"/>
        </w:rPr>
        <w:t>/20</w:t>
      </w:r>
      <w:r w:rsidRPr="00ED4DBB">
        <w:rPr>
          <w:rFonts w:cs="Arial"/>
          <w:sz w:val="24"/>
          <w:szCs w:val="24"/>
        </w:rPr>
        <w:t>16.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§1º Os modelos de referência poderão ser adaptados, de acordo com as necessidades da empresa estatal.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§2º</w:t>
      </w:r>
      <w:r w:rsidRPr="00ED4DBB">
        <w:rPr>
          <w:rFonts w:cs="Arial"/>
          <w:sz w:val="24"/>
          <w:szCs w:val="24"/>
        </w:rPr>
        <w:t xml:space="preserve"> Excetua-se do disposto neste artigo, quanto aos prazos, a estratégia de longo prazo, prevista no art. 23 da </w:t>
      </w:r>
      <w:r>
        <w:rPr>
          <w:rFonts w:cs="Arial"/>
          <w:sz w:val="24"/>
          <w:szCs w:val="24"/>
        </w:rPr>
        <w:t>Lei Federal nº 13.303/2016</w:t>
      </w:r>
      <w:r w:rsidRPr="00ED4DBB">
        <w:rPr>
          <w:rFonts w:cs="Arial"/>
          <w:sz w:val="24"/>
          <w:szCs w:val="24"/>
        </w:rPr>
        <w:t xml:space="preserve"> e no art. 14 do Decreto </w:t>
      </w:r>
      <w:r>
        <w:rPr>
          <w:rFonts w:cs="Arial"/>
          <w:sz w:val="24"/>
          <w:szCs w:val="24"/>
        </w:rPr>
        <w:t xml:space="preserve">nº </w:t>
      </w:r>
      <w:r w:rsidRPr="00ED4DBB">
        <w:rPr>
          <w:rFonts w:cs="Arial"/>
          <w:sz w:val="24"/>
          <w:szCs w:val="24"/>
        </w:rPr>
        <w:t>1.007</w:t>
      </w:r>
      <w:r>
        <w:rPr>
          <w:rFonts w:cs="Arial"/>
          <w:sz w:val="24"/>
          <w:szCs w:val="24"/>
        </w:rPr>
        <w:t>/20</w:t>
      </w:r>
      <w:r w:rsidRPr="00ED4DBB">
        <w:rPr>
          <w:rFonts w:cs="Arial"/>
          <w:sz w:val="24"/>
          <w:szCs w:val="24"/>
        </w:rPr>
        <w:t xml:space="preserve">16, cujos prazos de aplicação estão previstos no art. 95 da Lei </w:t>
      </w:r>
      <w:r>
        <w:rPr>
          <w:rFonts w:cs="Arial"/>
          <w:sz w:val="24"/>
          <w:szCs w:val="24"/>
        </w:rPr>
        <w:t xml:space="preserve">Federal nº </w:t>
      </w:r>
      <w:r w:rsidRPr="00ED4DBB">
        <w:rPr>
          <w:rFonts w:cs="Arial"/>
          <w:sz w:val="24"/>
          <w:szCs w:val="24"/>
        </w:rPr>
        <w:t>13.303</w:t>
      </w:r>
      <w:r>
        <w:rPr>
          <w:rFonts w:cs="Arial"/>
          <w:sz w:val="24"/>
          <w:szCs w:val="24"/>
        </w:rPr>
        <w:t xml:space="preserve">/2016 </w:t>
      </w:r>
      <w:r w:rsidRPr="00ED4DBB">
        <w:rPr>
          <w:rFonts w:cs="Arial"/>
          <w:sz w:val="24"/>
          <w:szCs w:val="24"/>
        </w:rPr>
        <w:t xml:space="preserve">e no art. 20 do Decreto </w:t>
      </w:r>
      <w:r>
        <w:rPr>
          <w:rFonts w:cs="Arial"/>
          <w:sz w:val="24"/>
          <w:szCs w:val="24"/>
        </w:rPr>
        <w:t xml:space="preserve">nº </w:t>
      </w:r>
      <w:r w:rsidRPr="00ED4DBB">
        <w:rPr>
          <w:rFonts w:cs="Arial"/>
          <w:sz w:val="24"/>
          <w:szCs w:val="24"/>
        </w:rPr>
        <w:t>1.007</w:t>
      </w:r>
      <w:r>
        <w:rPr>
          <w:rFonts w:cs="Arial"/>
          <w:sz w:val="24"/>
          <w:szCs w:val="24"/>
        </w:rPr>
        <w:t>/2016</w:t>
      </w:r>
      <w:r w:rsidRPr="00ED4DBB">
        <w:rPr>
          <w:rFonts w:cs="Arial"/>
          <w:sz w:val="24"/>
          <w:szCs w:val="24"/>
        </w:rPr>
        <w:t>.</w:t>
      </w:r>
    </w:p>
    <w:p w:rsidR="00403F58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</w:p>
    <w:p w:rsidR="00403F58" w:rsidRPr="00ED4DBB" w:rsidRDefault="00403F58" w:rsidP="00403F58">
      <w:pPr>
        <w:pStyle w:val="Cabealho"/>
        <w:tabs>
          <w:tab w:val="left" w:pos="708"/>
        </w:tabs>
        <w:ind w:firstLine="2552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Art. 20. A implementação dos modelos de referência será acompanhada pelos Grupos de Trabalho instituídos pelo Decreto nº 1.025/2017, ao qual compete prestar todo o apoio necessário.</w:t>
      </w:r>
    </w:p>
    <w:p w:rsidR="00403F58" w:rsidRPr="00ED4DBB" w:rsidRDefault="00403F58" w:rsidP="00403F58">
      <w:pPr>
        <w:pStyle w:val="Cabealho"/>
        <w:rPr>
          <w:rFonts w:cs="Arial"/>
          <w:sz w:val="24"/>
          <w:szCs w:val="24"/>
        </w:rPr>
      </w:pPr>
    </w:p>
    <w:p w:rsidR="00403F58" w:rsidRPr="00485A71" w:rsidRDefault="00403F58" w:rsidP="00403F58">
      <w:pPr>
        <w:ind w:firstLine="2552"/>
        <w:jc w:val="both"/>
        <w:rPr>
          <w:rFonts w:cs="Arial"/>
          <w:sz w:val="24"/>
          <w:szCs w:val="24"/>
        </w:rPr>
      </w:pPr>
      <w:r w:rsidRPr="00485A71">
        <w:rPr>
          <w:rFonts w:cs="Arial"/>
          <w:sz w:val="24"/>
          <w:szCs w:val="24"/>
        </w:rPr>
        <w:t>Florianópolis,</w:t>
      </w:r>
    </w:p>
    <w:p w:rsidR="00403F58" w:rsidRPr="00485A71" w:rsidRDefault="00403F58" w:rsidP="00403F58">
      <w:pPr>
        <w:pStyle w:val="Ttulo"/>
        <w:ind w:firstLine="2552"/>
        <w:jc w:val="both"/>
        <w:rPr>
          <w:rFonts w:cs="Arial"/>
          <w:b w:val="0"/>
          <w:szCs w:val="24"/>
        </w:rPr>
      </w:pPr>
    </w:p>
    <w:p w:rsidR="00403F58" w:rsidRPr="00485A71" w:rsidRDefault="00403F58" w:rsidP="00403F58">
      <w:pPr>
        <w:pStyle w:val="Ttulo"/>
        <w:ind w:firstLine="2552"/>
        <w:jc w:val="both"/>
        <w:rPr>
          <w:rFonts w:cs="Arial"/>
          <w:b w:val="0"/>
          <w:szCs w:val="24"/>
        </w:rPr>
      </w:pPr>
    </w:p>
    <w:p w:rsidR="00403F58" w:rsidRPr="00485A71" w:rsidRDefault="00403F58" w:rsidP="00403F58">
      <w:pPr>
        <w:pStyle w:val="Ttulo"/>
        <w:ind w:firstLine="2552"/>
        <w:jc w:val="both"/>
        <w:rPr>
          <w:rFonts w:cs="Arial"/>
          <w:b w:val="0"/>
          <w:szCs w:val="24"/>
        </w:rPr>
      </w:pPr>
    </w:p>
    <w:p w:rsidR="00403F58" w:rsidRDefault="00403F58" w:rsidP="00403F58">
      <w:pPr>
        <w:tabs>
          <w:tab w:val="left" w:pos="8788"/>
        </w:tabs>
        <w:ind w:right="-1"/>
        <w:jc w:val="center"/>
        <w:rPr>
          <w:rFonts w:cs="Arial"/>
          <w:sz w:val="24"/>
          <w:szCs w:val="24"/>
        </w:rPr>
      </w:pPr>
    </w:p>
    <w:p w:rsidR="00403F58" w:rsidRDefault="00403F58" w:rsidP="00403F58">
      <w:pPr>
        <w:tabs>
          <w:tab w:val="left" w:pos="8788"/>
        </w:tabs>
        <w:ind w:right="-1"/>
        <w:jc w:val="center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western"/>
        <w:spacing w:before="0" w:beforeAutospacing="0" w:after="0"/>
        <w:jc w:val="center"/>
        <w:rPr>
          <w:rStyle w:val="apple-converted-space"/>
          <w:rFonts w:ascii="Arial" w:hAnsi="Arial" w:cs="Arial"/>
          <w:b/>
          <w:shd w:val="clear" w:color="auto" w:fill="FFFFFF"/>
        </w:rPr>
      </w:pPr>
      <w:r>
        <w:rPr>
          <w:rStyle w:val="apple-converted-space"/>
          <w:rFonts w:ascii="Arial" w:hAnsi="Arial" w:cs="Arial"/>
          <w:b/>
          <w:shd w:val="clear" w:color="auto" w:fill="FFFFFF"/>
        </w:rPr>
        <w:t>PAULO ELI</w:t>
      </w:r>
    </w:p>
    <w:p w:rsidR="00403F58" w:rsidRPr="00485A71" w:rsidRDefault="00403F58" w:rsidP="00403F58">
      <w:pPr>
        <w:pStyle w:val="western"/>
        <w:spacing w:before="0" w:beforeAutospacing="0" w:after="0"/>
        <w:jc w:val="center"/>
        <w:rPr>
          <w:rStyle w:val="apple-converted-space"/>
          <w:rFonts w:ascii="Arial" w:hAnsi="Arial" w:cs="Arial"/>
          <w:shd w:val="clear" w:color="auto" w:fill="FFFFFF"/>
        </w:rPr>
      </w:pPr>
      <w:r w:rsidRPr="00485A71">
        <w:rPr>
          <w:rStyle w:val="apple-converted-space"/>
          <w:rFonts w:ascii="Arial" w:hAnsi="Arial" w:cs="Arial"/>
          <w:shd w:val="clear" w:color="auto" w:fill="FFFFFF"/>
        </w:rPr>
        <w:t>Secretário de Estado da Fazenda</w:t>
      </w:r>
    </w:p>
    <w:p w:rsidR="00403F58" w:rsidRPr="00485A71" w:rsidRDefault="00403F58" w:rsidP="00403F58">
      <w:pPr>
        <w:tabs>
          <w:tab w:val="left" w:pos="8788"/>
        </w:tabs>
        <w:ind w:right="-1"/>
        <w:jc w:val="center"/>
        <w:rPr>
          <w:rFonts w:cs="Arial"/>
          <w:sz w:val="24"/>
          <w:szCs w:val="24"/>
        </w:rPr>
      </w:pPr>
    </w:p>
    <w:p w:rsidR="00403F58" w:rsidRPr="00485A71" w:rsidRDefault="00403F58" w:rsidP="00403F58">
      <w:pPr>
        <w:tabs>
          <w:tab w:val="left" w:pos="8788"/>
        </w:tabs>
        <w:ind w:right="-1"/>
        <w:jc w:val="center"/>
        <w:rPr>
          <w:rFonts w:cs="Arial"/>
          <w:sz w:val="24"/>
          <w:szCs w:val="24"/>
        </w:rPr>
      </w:pPr>
    </w:p>
    <w:p w:rsidR="00403F58" w:rsidRPr="00485A71" w:rsidRDefault="00403F58" w:rsidP="00403F58">
      <w:pPr>
        <w:tabs>
          <w:tab w:val="left" w:pos="8788"/>
        </w:tabs>
        <w:ind w:right="-1"/>
        <w:jc w:val="center"/>
        <w:rPr>
          <w:rFonts w:cs="Arial"/>
          <w:sz w:val="24"/>
          <w:szCs w:val="24"/>
        </w:rPr>
      </w:pPr>
    </w:p>
    <w:p w:rsidR="00403F58" w:rsidRPr="00485A71" w:rsidRDefault="00403F58" w:rsidP="00403F58">
      <w:pPr>
        <w:pStyle w:val="western"/>
        <w:spacing w:before="0" w:beforeAutospacing="0" w:after="0"/>
        <w:jc w:val="center"/>
        <w:rPr>
          <w:rStyle w:val="apple-converted-space"/>
          <w:rFonts w:ascii="Arial" w:hAnsi="Arial" w:cs="Arial"/>
          <w:b/>
          <w:shd w:val="clear" w:color="auto" w:fill="FFFFFF"/>
        </w:rPr>
      </w:pPr>
      <w:r>
        <w:rPr>
          <w:rStyle w:val="apple-converted-space"/>
          <w:rFonts w:ascii="Arial" w:hAnsi="Arial" w:cs="Arial"/>
          <w:b/>
          <w:shd w:val="clear" w:color="auto" w:fill="FFFFFF"/>
        </w:rPr>
        <w:t>LUCIANO VELOSO LIMA</w:t>
      </w:r>
    </w:p>
    <w:p w:rsidR="00403F58" w:rsidRPr="00485A71" w:rsidRDefault="00403F58" w:rsidP="00403F58">
      <w:pPr>
        <w:pStyle w:val="western"/>
        <w:spacing w:before="0" w:beforeAutospacing="0" w:after="0"/>
        <w:jc w:val="center"/>
        <w:rPr>
          <w:rStyle w:val="apple-converted-space"/>
          <w:rFonts w:ascii="Arial" w:hAnsi="Arial" w:cs="Arial"/>
          <w:shd w:val="clear" w:color="auto" w:fill="FFFFFF"/>
        </w:rPr>
      </w:pPr>
      <w:r w:rsidRPr="00485A71">
        <w:rPr>
          <w:rStyle w:val="apple-converted-space"/>
          <w:rFonts w:ascii="Arial" w:hAnsi="Arial" w:cs="Arial"/>
          <w:shd w:val="clear" w:color="auto" w:fill="FFFFFF"/>
        </w:rPr>
        <w:t>Secretário de Estado da Casa Civil</w:t>
      </w:r>
    </w:p>
    <w:p w:rsidR="00403F58" w:rsidRPr="00485A71" w:rsidRDefault="00403F58" w:rsidP="00403F58">
      <w:pPr>
        <w:pStyle w:val="western"/>
        <w:spacing w:before="0" w:beforeAutospacing="0" w:after="0"/>
        <w:jc w:val="center"/>
        <w:rPr>
          <w:rStyle w:val="apple-converted-space"/>
          <w:rFonts w:ascii="Arial" w:hAnsi="Arial" w:cs="Arial"/>
          <w:shd w:val="clear" w:color="auto" w:fill="FFFFFF"/>
        </w:rPr>
      </w:pPr>
    </w:p>
    <w:p w:rsidR="00403F58" w:rsidRPr="00485A71" w:rsidRDefault="00403F58" w:rsidP="00403F58">
      <w:pPr>
        <w:pStyle w:val="western"/>
        <w:spacing w:before="0" w:beforeAutospacing="0" w:after="0"/>
        <w:jc w:val="center"/>
        <w:rPr>
          <w:rStyle w:val="apple-converted-space"/>
          <w:rFonts w:ascii="Arial" w:hAnsi="Arial" w:cs="Arial"/>
          <w:shd w:val="clear" w:color="auto" w:fill="FFFFFF"/>
        </w:rPr>
      </w:pPr>
    </w:p>
    <w:p w:rsidR="00403F58" w:rsidRPr="00485A71" w:rsidRDefault="00403F58" w:rsidP="00403F58">
      <w:pPr>
        <w:pStyle w:val="western"/>
        <w:spacing w:before="0" w:beforeAutospacing="0" w:after="0"/>
        <w:jc w:val="center"/>
        <w:rPr>
          <w:rStyle w:val="apple-converted-space"/>
          <w:rFonts w:ascii="Arial" w:hAnsi="Arial" w:cs="Arial"/>
          <w:shd w:val="clear" w:color="auto" w:fill="FFFFFF"/>
        </w:rPr>
      </w:pPr>
    </w:p>
    <w:p w:rsidR="00403F58" w:rsidRPr="00485A71" w:rsidRDefault="00403F58" w:rsidP="00403F58">
      <w:pPr>
        <w:pStyle w:val="western"/>
        <w:spacing w:before="0" w:beforeAutospacing="0" w:after="0"/>
        <w:jc w:val="center"/>
        <w:rPr>
          <w:rStyle w:val="apple-converted-space"/>
          <w:rFonts w:ascii="Arial" w:hAnsi="Arial" w:cs="Arial"/>
          <w:shd w:val="clear" w:color="auto" w:fill="FFFFFF"/>
        </w:rPr>
      </w:pPr>
    </w:p>
    <w:p w:rsidR="008B1980" w:rsidRDefault="008B1980"/>
    <w:sectPr w:rsidR="008B1980" w:rsidSect="00DF4EEA">
      <w:headerReference w:type="default" r:id="rId6"/>
      <w:footerReference w:type="even" r:id="rId7"/>
      <w:footerReference w:type="default" r:id="rId8"/>
      <w:pgSz w:w="11907" w:h="16840" w:code="9"/>
      <w:pgMar w:top="1418" w:right="1418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B1" w:rsidRDefault="005702DF">
      <w:r>
        <w:separator/>
      </w:r>
    </w:p>
  </w:endnote>
  <w:endnote w:type="continuationSeparator" w:id="0">
    <w:p w:rsidR="006911B1" w:rsidRDefault="0057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E6" w:rsidRDefault="00403F58" w:rsidP="0034117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21E6" w:rsidRDefault="00C030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1E6" w:rsidRPr="00784703" w:rsidRDefault="00403F58" w:rsidP="009E21DB">
    <w:pPr>
      <w:pStyle w:val="Rodap"/>
      <w:tabs>
        <w:tab w:val="clear" w:pos="4419"/>
        <w:tab w:val="clear" w:pos="8838"/>
        <w:tab w:val="center" w:pos="4394"/>
        <w:tab w:val="right" w:pos="8788"/>
      </w:tabs>
    </w:pPr>
    <w:r w:rsidRPr="009E21DB">
      <w:rPr>
        <w:sz w:val="10"/>
        <w:szCs w:val="10"/>
      </w:rPr>
      <w:t xml:space="preserve">SEF </w:t>
    </w:r>
    <w:r>
      <w:rPr>
        <w:sz w:val="10"/>
        <w:szCs w:val="10"/>
      </w:rPr>
      <w:t>1456/2018</w:t>
    </w:r>
    <w:r>
      <w:tab/>
    </w:r>
    <w:r w:rsidRPr="009E21DB">
      <w:rPr>
        <w:sz w:val="18"/>
        <w:szCs w:val="18"/>
      </w:rPr>
      <w:fldChar w:fldCharType="begin"/>
    </w:r>
    <w:r w:rsidRPr="009E21DB">
      <w:rPr>
        <w:sz w:val="18"/>
        <w:szCs w:val="18"/>
      </w:rPr>
      <w:instrText xml:space="preserve"> PAGE  \* Arabic  \* MERGEFORMAT </w:instrText>
    </w:r>
    <w:r w:rsidRPr="009E21DB">
      <w:rPr>
        <w:sz w:val="18"/>
        <w:szCs w:val="18"/>
      </w:rPr>
      <w:fldChar w:fldCharType="separate"/>
    </w:r>
    <w:r w:rsidR="00C03075">
      <w:rPr>
        <w:noProof/>
        <w:sz w:val="18"/>
        <w:szCs w:val="18"/>
      </w:rPr>
      <w:t>1</w:t>
    </w:r>
    <w:r w:rsidRPr="009E21DB">
      <w:rPr>
        <w:sz w:val="18"/>
        <w:szCs w:val="18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B1" w:rsidRDefault="005702DF">
      <w:r>
        <w:separator/>
      </w:r>
    </w:p>
  </w:footnote>
  <w:footnote w:type="continuationSeparator" w:id="0">
    <w:p w:rsidR="006911B1" w:rsidRDefault="0057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"/>
      <w:gridCol w:w="8364"/>
    </w:tblGrid>
    <w:tr w:rsidR="00F821E6">
      <w:trPr>
        <w:cantSplit/>
      </w:trPr>
      <w:tc>
        <w:tcPr>
          <w:tcW w:w="777" w:type="dxa"/>
          <w:vAlign w:val="center"/>
        </w:tcPr>
        <w:p w:rsidR="00F821E6" w:rsidRDefault="00403F58" w:rsidP="00395A8D">
          <w:pPr>
            <w:pStyle w:val="Cabealho"/>
            <w:rPr>
              <w:rFonts w:ascii="Times New Roman" w:hAnsi="Times New Roman"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434340" cy="525780"/>
                <wp:effectExtent l="0" t="0" r="3810" b="762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434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:rsidR="00F821E6" w:rsidRPr="00E32097" w:rsidRDefault="00403F58">
          <w:pPr>
            <w:pStyle w:val="Cabealho"/>
            <w:rPr>
              <w:rFonts w:cs="Arial"/>
              <w:b/>
              <w:sz w:val="24"/>
            </w:rPr>
          </w:pPr>
          <w:r w:rsidRPr="00E32097">
            <w:rPr>
              <w:rFonts w:cs="Arial"/>
              <w:b/>
              <w:sz w:val="24"/>
            </w:rPr>
            <w:t>ESTADO DE SANTA CATARINA</w:t>
          </w:r>
        </w:p>
      </w:tc>
    </w:tr>
  </w:tbl>
  <w:p w:rsidR="00F821E6" w:rsidRPr="00ED7A62" w:rsidRDefault="00C03075">
    <w:pPr>
      <w:pStyle w:val="Cabealho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58"/>
    <w:rsid w:val="00075E2F"/>
    <w:rsid w:val="00087D68"/>
    <w:rsid w:val="00403F58"/>
    <w:rsid w:val="005702DF"/>
    <w:rsid w:val="005E2E62"/>
    <w:rsid w:val="006911B1"/>
    <w:rsid w:val="00850B42"/>
    <w:rsid w:val="008B1980"/>
    <w:rsid w:val="00A96437"/>
    <w:rsid w:val="00C0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5D10"/>
  <w15:docId w15:val="{06F27F1A-7CAD-4444-8ACA-AE90D528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5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403F58"/>
  </w:style>
  <w:style w:type="paragraph" w:styleId="Cabealho">
    <w:name w:val="header"/>
    <w:basedOn w:val="Normal"/>
    <w:link w:val="CabealhoChar"/>
    <w:uiPriority w:val="99"/>
    <w:rsid w:val="00403F58"/>
    <w:pPr>
      <w:tabs>
        <w:tab w:val="center" w:pos="4419"/>
        <w:tab w:val="right" w:pos="8838"/>
      </w:tabs>
    </w:pPr>
    <w:rPr>
      <w:color w:val="auto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403F58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03F58"/>
    <w:pPr>
      <w:tabs>
        <w:tab w:val="center" w:pos="4419"/>
        <w:tab w:val="right" w:pos="8838"/>
      </w:tabs>
    </w:pPr>
    <w:rPr>
      <w:color w:val="auto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403F58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403F58"/>
    <w:pPr>
      <w:widowControl/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403F58"/>
    <w:rPr>
      <w:rFonts w:ascii="Arial" w:eastAsia="Times New Roman" w:hAnsi="Arial" w:cs="Times New Roman"/>
      <w:b/>
      <w:color w:val="000000"/>
      <w:sz w:val="24"/>
      <w:szCs w:val="20"/>
      <w:lang w:eastAsia="pt-BR"/>
    </w:rPr>
  </w:style>
  <w:style w:type="paragraph" w:customStyle="1" w:styleId="western">
    <w:name w:val="western"/>
    <w:basedOn w:val="Normal"/>
    <w:rsid w:val="00403F58"/>
    <w:pPr>
      <w:widowControl/>
      <w:spacing w:before="100" w:beforeAutospacing="1" w:after="119"/>
    </w:pPr>
    <w:rPr>
      <w:rFonts w:ascii="Times New Roman" w:hAnsi="Times New Roman"/>
      <w:color w:val="auto"/>
      <w:sz w:val="24"/>
      <w:szCs w:val="24"/>
    </w:rPr>
  </w:style>
  <w:style w:type="character" w:customStyle="1" w:styleId="apple-converted-space">
    <w:name w:val="apple-converted-space"/>
    <w:rsid w:val="00403F58"/>
  </w:style>
  <w:style w:type="paragraph" w:customStyle="1" w:styleId="Default">
    <w:name w:val="Default"/>
    <w:rsid w:val="00403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B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B42"/>
    <w:rPr>
      <w:rFonts w:ascii="Tahoma" w:eastAsia="Times New Roman" w:hAnsi="Tahoma" w:cs="Tahoma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2537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Rafaeli</dc:creator>
  <cp:keywords/>
  <dc:description/>
  <cp:lastModifiedBy>Gisele Rafaeli</cp:lastModifiedBy>
  <cp:revision>5</cp:revision>
  <dcterms:created xsi:type="dcterms:W3CDTF">2018-05-23T19:52:00Z</dcterms:created>
  <dcterms:modified xsi:type="dcterms:W3CDTF">2018-05-28T16:44:00Z</dcterms:modified>
</cp:coreProperties>
</file>