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82" w:rsidRDefault="00EF6082" w:rsidP="00BF0463">
      <w:pPr>
        <w:pStyle w:val="Default"/>
        <w:jc w:val="center"/>
        <w:rPr>
          <w:rFonts w:ascii="Arial" w:hAnsi="Arial" w:cs="Arial"/>
          <w:b/>
          <w:bCs/>
          <w:color w:val="auto"/>
          <w:sz w:val="40"/>
          <w:szCs w:val="40"/>
        </w:rPr>
      </w:pPr>
    </w:p>
    <w:p w:rsidR="00EF6082" w:rsidRDefault="00EF6082" w:rsidP="00BF0463">
      <w:pPr>
        <w:pStyle w:val="Default"/>
        <w:jc w:val="center"/>
        <w:rPr>
          <w:rFonts w:ascii="Arial" w:hAnsi="Arial" w:cs="Arial"/>
          <w:b/>
          <w:bCs/>
          <w:color w:val="auto"/>
          <w:sz w:val="40"/>
          <w:szCs w:val="40"/>
        </w:rPr>
      </w:pPr>
    </w:p>
    <w:p w:rsidR="00EF6082" w:rsidRDefault="00EF6082" w:rsidP="00BF0463">
      <w:pPr>
        <w:pStyle w:val="Default"/>
        <w:jc w:val="center"/>
        <w:rPr>
          <w:rFonts w:ascii="Arial" w:hAnsi="Arial" w:cs="Arial"/>
          <w:b/>
          <w:bCs/>
          <w:color w:val="auto"/>
          <w:sz w:val="40"/>
          <w:szCs w:val="40"/>
        </w:rPr>
      </w:pPr>
    </w:p>
    <w:p w:rsidR="00EF6082" w:rsidRDefault="00EF6082" w:rsidP="00BF0463">
      <w:pPr>
        <w:pStyle w:val="Default"/>
        <w:jc w:val="center"/>
        <w:rPr>
          <w:rFonts w:ascii="Arial" w:hAnsi="Arial" w:cs="Arial"/>
          <w:b/>
          <w:bCs/>
          <w:color w:val="auto"/>
          <w:sz w:val="40"/>
          <w:szCs w:val="40"/>
        </w:rPr>
      </w:pPr>
    </w:p>
    <w:p w:rsidR="00EF6082" w:rsidRDefault="00EF6082" w:rsidP="00BF0463">
      <w:pPr>
        <w:pStyle w:val="Default"/>
        <w:jc w:val="center"/>
        <w:rPr>
          <w:rFonts w:ascii="Arial" w:hAnsi="Arial" w:cs="Arial"/>
          <w:b/>
          <w:bCs/>
          <w:color w:val="auto"/>
          <w:sz w:val="40"/>
          <w:szCs w:val="40"/>
        </w:rPr>
      </w:pPr>
    </w:p>
    <w:p w:rsidR="00EF6082" w:rsidRDefault="00EF6082" w:rsidP="00BF0463">
      <w:pPr>
        <w:pStyle w:val="Default"/>
        <w:jc w:val="center"/>
        <w:rPr>
          <w:rFonts w:ascii="Arial" w:hAnsi="Arial" w:cs="Arial"/>
          <w:b/>
          <w:bCs/>
          <w:color w:val="auto"/>
          <w:sz w:val="40"/>
          <w:szCs w:val="40"/>
        </w:rPr>
      </w:pPr>
    </w:p>
    <w:p w:rsidR="00EF6082" w:rsidRDefault="00EF6082" w:rsidP="00BF0463">
      <w:pPr>
        <w:pStyle w:val="Default"/>
        <w:jc w:val="center"/>
        <w:rPr>
          <w:rFonts w:ascii="Arial" w:hAnsi="Arial" w:cs="Arial"/>
          <w:b/>
          <w:bCs/>
          <w:color w:val="auto"/>
          <w:sz w:val="40"/>
          <w:szCs w:val="40"/>
        </w:rPr>
      </w:pPr>
    </w:p>
    <w:p w:rsidR="00EF6082" w:rsidRDefault="00EF6082" w:rsidP="00BF0463">
      <w:pPr>
        <w:pStyle w:val="Default"/>
        <w:jc w:val="center"/>
        <w:rPr>
          <w:rFonts w:ascii="Arial" w:hAnsi="Arial" w:cs="Arial"/>
          <w:b/>
          <w:bCs/>
          <w:color w:val="auto"/>
          <w:sz w:val="40"/>
          <w:szCs w:val="40"/>
        </w:rPr>
      </w:pPr>
    </w:p>
    <w:p w:rsidR="00EF6082" w:rsidRPr="00671403" w:rsidRDefault="00671403" w:rsidP="00BF0463">
      <w:pPr>
        <w:pStyle w:val="Default"/>
        <w:jc w:val="center"/>
        <w:rPr>
          <w:rFonts w:ascii="Arial" w:hAnsi="Arial" w:cs="Arial"/>
          <w:b/>
          <w:bCs/>
          <w:color w:val="auto"/>
          <w:sz w:val="52"/>
          <w:szCs w:val="52"/>
        </w:rPr>
      </w:pPr>
      <w:r w:rsidRPr="00671403">
        <w:rPr>
          <w:rFonts w:ascii="Arial" w:hAnsi="Arial" w:cs="Arial"/>
          <w:b/>
          <w:bCs/>
          <w:color w:val="auto"/>
          <w:sz w:val="52"/>
          <w:szCs w:val="52"/>
        </w:rPr>
        <w:t xml:space="preserve">ANEXO </w:t>
      </w:r>
      <w:r w:rsidR="00182869">
        <w:rPr>
          <w:rFonts w:ascii="Arial" w:hAnsi="Arial" w:cs="Arial"/>
          <w:b/>
          <w:bCs/>
          <w:color w:val="auto"/>
          <w:sz w:val="52"/>
          <w:szCs w:val="52"/>
        </w:rPr>
        <w:t>IX</w:t>
      </w:r>
      <w:bookmarkStart w:id="0" w:name="_GoBack"/>
      <w:bookmarkEnd w:id="0"/>
    </w:p>
    <w:p w:rsidR="00EF6082" w:rsidRDefault="00EF6082" w:rsidP="00BF0463">
      <w:pPr>
        <w:pStyle w:val="Default"/>
        <w:jc w:val="center"/>
        <w:rPr>
          <w:rFonts w:ascii="Arial" w:hAnsi="Arial" w:cs="Arial"/>
          <w:b/>
          <w:bCs/>
          <w:color w:val="auto"/>
          <w:sz w:val="40"/>
          <w:szCs w:val="40"/>
        </w:rPr>
      </w:pPr>
    </w:p>
    <w:p w:rsidR="00EF6082" w:rsidRDefault="00EF6082" w:rsidP="00BF0463">
      <w:pPr>
        <w:pStyle w:val="Default"/>
        <w:jc w:val="center"/>
        <w:rPr>
          <w:rFonts w:ascii="Arial" w:hAnsi="Arial" w:cs="Arial"/>
          <w:b/>
          <w:bCs/>
          <w:color w:val="auto"/>
          <w:sz w:val="40"/>
          <w:szCs w:val="40"/>
        </w:rPr>
      </w:pPr>
    </w:p>
    <w:p w:rsidR="00916FC6" w:rsidRPr="00EF6082" w:rsidRDefault="00916FC6" w:rsidP="00BF0463">
      <w:pPr>
        <w:pStyle w:val="Default"/>
        <w:jc w:val="center"/>
        <w:rPr>
          <w:rFonts w:ascii="Arial" w:hAnsi="Arial" w:cs="Arial"/>
          <w:b/>
          <w:bCs/>
          <w:color w:val="auto"/>
          <w:sz w:val="40"/>
          <w:szCs w:val="40"/>
        </w:rPr>
      </w:pPr>
      <w:r w:rsidRPr="00EF6082">
        <w:rPr>
          <w:rFonts w:ascii="Arial" w:hAnsi="Arial" w:cs="Arial"/>
          <w:b/>
          <w:bCs/>
          <w:color w:val="auto"/>
          <w:sz w:val="40"/>
          <w:szCs w:val="40"/>
        </w:rPr>
        <w:t>DIVULGAÇÃO DA REMUNERAÇÃO DOS ADMINSTRADORES</w:t>
      </w:r>
    </w:p>
    <w:p w:rsidR="00EF6082" w:rsidRDefault="00EF6082">
      <w:pPr>
        <w:spacing w:after="160" w:line="259" w:lineRule="auto"/>
        <w:rPr>
          <w:rFonts w:ascii="Cambria" w:eastAsiaTheme="minorHAnsi" w:hAnsi="Cambria"/>
          <w:b/>
          <w:bCs/>
          <w:lang w:eastAsia="en-US"/>
        </w:rPr>
      </w:pPr>
      <w:r>
        <w:rPr>
          <w:rFonts w:ascii="Cambria" w:hAnsi="Cambria"/>
          <w:b/>
          <w:bCs/>
        </w:rPr>
        <w:br w:type="page"/>
      </w:r>
    </w:p>
    <w:p w:rsidR="00EF6082" w:rsidRDefault="00EF6082" w:rsidP="00BF0463">
      <w:pPr>
        <w:pStyle w:val="Default"/>
        <w:jc w:val="center"/>
        <w:rPr>
          <w:rFonts w:ascii="Cambria" w:hAnsi="Cambria"/>
          <w:b/>
          <w:bCs/>
          <w:color w:val="auto"/>
        </w:rPr>
      </w:pPr>
    </w:p>
    <w:p w:rsidR="005F2816" w:rsidRDefault="005F2816" w:rsidP="005F2816">
      <w:pPr>
        <w:pStyle w:val="Default"/>
        <w:rPr>
          <w:rFonts w:ascii="Cambria" w:hAnsi="Cambria"/>
          <w:b/>
          <w:bCs/>
          <w:color w:val="auto"/>
        </w:rPr>
      </w:pPr>
    </w:p>
    <w:p w:rsidR="005F2816" w:rsidRPr="00EF6082" w:rsidRDefault="005F2816" w:rsidP="00EF6082">
      <w:pPr>
        <w:pStyle w:val="Default"/>
        <w:spacing w:before="120" w:after="120" w:line="360" w:lineRule="auto"/>
        <w:jc w:val="both"/>
        <w:rPr>
          <w:rFonts w:ascii="Arial" w:hAnsi="Arial" w:cs="Arial"/>
          <w:bCs/>
          <w:color w:val="auto"/>
        </w:rPr>
      </w:pPr>
      <w:r w:rsidRPr="00EF6082">
        <w:rPr>
          <w:rFonts w:ascii="Arial" w:hAnsi="Arial" w:cs="Arial"/>
          <w:b/>
          <w:bCs/>
          <w:color w:val="auto"/>
        </w:rPr>
        <w:t>Objetivo:</w:t>
      </w:r>
      <w:r w:rsidRPr="00EF6082">
        <w:rPr>
          <w:rFonts w:ascii="Arial" w:hAnsi="Arial" w:cs="Arial"/>
          <w:bCs/>
          <w:color w:val="auto"/>
        </w:rPr>
        <w:t xml:space="preserve"> </w:t>
      </w:r>
      <w:r w:rsidRPr="00EF6082">
        <w:rPr>
          <w:rFonts w:ascii="Arial" w:hAnsi="Arial" w:cs="Arial"/>
          <w:bCs/>
          <w:i/>
          <w:color w:val="auto"/>
        </w:rPr>
        <w:t>Divulgar toda e qualquer forma de remuneração dos administrados de forma tempestiva e atualizada;</w:t>
      </w:r>
    </w:p>
    <w:p w:rsidR="00EF6082" w:rsidRPr="00EF6082" w:rsidRDefault="00EF6082" w:rsidP="00EF6082">
      <w:pPr>
        <w:pStyle w:val="Default"/>
        <w:spacing w:before="120" w:after="120" w:line="360" w:lineRule="auto"/>
        <w:rPr>
          <w:rFonts w:ascii="Arial" w:hAnsi="Arial" w:cs="Arial"/>
          <w:b/>
          <w:bCs/>
          <w:color w:val="auto"/>
        </w:rPr>
      </w:pPr>
    </w:p>
    <w:p w:rsidR="005F2816" w:rsidRPr="00EF6082" w:rsidRDefault="005F2816" w:rsidP="00EF6082">
      <w:pPr>
        <w:pStyle w:val="Default"/>
        <w:spacing w:before="120" w:after="120" w:line="360" w:lineRule="auto"/>
        <w:rPr>
          <w:rFonts w:ascii="Arial" w:hAnsi="Arial" w:cs="Arial"/>
          <w:bCs/>
          <w:color w:val="auto"/>
        </w:rPr>
      </w:pPr>
      <w:r w:rsidRPr="00EF6082">
        <w:rPr>
          <w:rFonts w:ascii="Arial" w:hAnsi="Arial" w:cs="Arial"/>
          <w:b/>
          <w:bCs/>
          <w:color w:val="auto"/>
        </w:rPr>
        <w:t>Frequência:</w:t>
      </w:r>
      <w:r w:rsidRPr="00EF6082">
        <w:rPr>
          <w:rFonts w:ascii="Arial" w:hAnsi="Arial" w:cs="Arial"/>
          <w:bCs/>
          <w:color w:val="auto"/>
        </w:rPr>
        <w:t xml:space="preserve"> </w:t>
      </w:r>
      <w:r w:rsidRPr="00EF6082">
        <w:rPr>
          <w:rFonts w:ascii="Arial" w:hAnsi="Arial" w:cs="Arial"/>
          <w:bCs/>
          <w:i/>
          <w:color w:val="auto"/>
        </w:rPr>
        <w:t>Anual</w:t>
      </w:r>
      <w:r w:rsidR="00EF6082">
        <w:rPr>
          <w:rFonts w:ascii="Arial" w:hAnsi="Arial" w:cs="Arial"/>
          <w:bCs/>
          <w:i/>
          <w:color w:val="auto"/>
        </w:rPr>
        <w:t>.</w:t>
      </w:r>
    </w:p>
    <w:p w:rsidR="00EF6082" w:rsidRPr="00EF6082" w:rsidRDefault="00EF6082" w:rsidP="00EF6082">
      <w:pPr>
        <w:pStyle w:val="Default"/>
        <w:spacing w:before="120" w:after="120" w:line="360" w:lineRule="auto"/>
        <w:rPr>
          <w:rFonts w:ascii="Arial" w:hAnsi="Arial" w:cs="Arial"/>
          <w:b/>
          <w:bCs/>
        </w:rPr>
      </w:pPr>
    </w:p>
    <w:p w:rsidR="005F2816" w:rsidRPr="00EF6082" w:rsidRDefault="005F2816" w:rsidP="00EF6082">
      <w:pPr>
        <w:pStyle w:val="Default"/>
        <w:spacing w:before="120" w:after="120" w:line="360" w:lineRule="auto"/>
        <w:rPr>
          <w:rFonts w:ascii="Arial" w:hAnsi="Arial" w:cs="Arial"/>
          <w:bCs/>
          <w:i/>
        </w:rPr>
      </w:pPr>
      <w:r w:rsidRPr="00EF6082">
        <w:rPr>
          <w:rFonts w:ascii="Arial" w:hAnsi="Arial" w:cs="Arial"/>
          <w:b/>
          <w:bCs/>
        </w:rPr>
        <w:t>Responsável:</w:t>
      </w:r>
      <w:r w:rsidRPr="00EF6082">
        <w:rPr>
          <w:rFonts w:ascii="Arial" w:hAnsi="Arial" w:cs="Arial"/>
          <w:bCs/>
        </w:rPr>
        <w:t xml:space="preserve"> </w:t>
      </w:r>
      <w:r w:rsidRPr="00EF6082">
        <w:rPr>
          <w:rFonts w:ascii="Arial" w:hAnsi="Arial" w:cs="Arial"/>
          <w:bCs/>
          <w:i/>
        </w:rPr>
        <w:t>Diretoria e subscrição do Conselho de Administração</w:t>
      </w:r>
      <w:r w:rsidR="00EF6082">
        <w:rPr>
          <w:rFonts w:ascii="Arial" w:hAnsi="Arial" w:cs="Arial"/>
          <w:bCs/>
          <w:i/>
        </w:rPr>
        <w:t>.</w:t>
      </w:r>
    </w:p>
    <w:p w:rsidR="00EF6082" w:rsidRPr="00EF6082" w:rsidRDefault="00EF6082" w:rsidP="00EF6082">
      <w:pPr>
        <w:spacing w:before="120" w:after="120" w:line="360" w:lineRule="auto"/>
        <w:rPr>
          <w:rFonts w:ascii="Arial" w:eastAsiaTheme="minorHAnsi" w:hAnsi="Arial" w:cs="Arial"/>
          <w:bCs/>
          <w:color w:val="000000"/>
          <w:lang w:eastAsia="en-US"/>
        </w:rPr>
      </w:pPr>
      <w:r w:rsidRPr="00EF6082">
        <w:rPr>
          <w:rFonts w:ascii="Arial" w:hAnsi="Arial" w:cs="Arial"/>
          <w:bCs/>
        </w:rPr>
        <w:br w:type="page"/>
      </w:r>
    </w:p>
    <w:tbl>
      <w:tblPr>
        <w:tblW w:w="49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4"/>
      </w:tblGrid>
      <w:tr w:rsidR="000751B7" w:rsidRPr="00EF6082" w:rsidTr="00E93B21">
        <w:tc>
          <w:tcPr>
            <w:tcW w:w="5000" w:type="pct"/>
          </w:tcPr>
          <w:p w:rsidR="000751B7" w:rsidRPr="00EF6082" w:rsidRDefault="000751B7" w:rsidP="00EF6082">
            <w:pPr>
              <w:autoSpaceDE w:val="0"/>
              <w:autoSpaceDN w:val="0"/>
              <w:adjustRightInd w:val="0"/>
              <w:spacing w:before="120" w:after="120" w:line="360" w:lineRule="auto"/>
              <w:jc w:val="center"/>
              <w:rPr>
                <w:rFonts w:ascii="Arial" w:eastAsia="Arial Unicode MS" w:hAnsi="Arial" w:cs="Arial"/>
                <w:b/>
                <w:i/>
              </w:rPr>
            </w:pPr>
            <w:r w:rsidRPr="00EF6082">
              <w:rPr>
                <w:rFonts w:ascii="Arial" w:eastAsia="Arial Unicode MS" w:hAnsi="Arial" w:cs="Arial"/>
                <w:b/>
                <w:i/>
              </w:rPr>
              <w:lastRenderedPageBreak/>
              <w:t>ICVM 480 DE 2009</w:t>
            </w:r>
          </w:p>
          <w:p w:rsidR="000751B7" w:rsidRPr="00EF6082" w:rsidRDefault="000751B7" w:rsidP="00EF6082">
            <w:pPr>
              <w:autoSpaceDE w:val="0"/>
              <w:autoSpaceDN w:val="0"/>
              <w:adjustRightInd w:val="0"/>
              <w:spacing w:before="120" w:after="120" w:line="360" w:lineRule="auto"/>
              <w:jc w:val="center"/>
              <w:rPr>
                <w:rFonts w:ascii="Arial" w:eastAsia="Arial Unicode MS" w:hAnsi="Arial" w:cs="Arial"/>
                <w:b/>
                <w:i/>
              </w:rPr>
            </w:pPr>
            <w:r w:rsidRPr="00EF6082">
              <w:rPr>
                <w:rFonts w:ascii="Arial" w:eastAsia="Arial Unicode MS" w:hAnsi="Arial" w:cs="Arial"/>
                <w:b/>
                <w:i/>
              </w:rPr>
              <w:t>ANEXO 24</w:t>
            </w:r>
          </w:p>
          <w:p w:rsidR="000751B7" w:rsidRPr="00EF6082" w:rsidRDefault="000751B7" w:rsidP="00EF6082">
            <w:pPr>
              <w:autoSpaceDE w:val="0"/>
              <w:autoSpaceDN w:val="0"/>
              <w:adjustRightInd w:val="0"/>
              <w:spacing w:before="120" w:after="120" w:line="360" w:lineRule="auto"/>
              <w:jc w:val="center"/>
              <w:rPr>
                <w:rFonts w:ascii="Arial" w:eastAsia="Arial Unicode MS" w:hAnsi="Arial" w:cs="Arial"/>
                <w:b/>
                <w:i/>
              </w:rPr>
            </w:pPr>
            <w:r w:rsidRPr="00EF6082">
              <w:rPr>
                <w:rFonts w:ascii="Arial" w:eastAsia="Arial Unicode MS" w:hAnsi="Arial" w:cs="Arial"/>
                <w:b/>
                <w:i/>
              </w:rPr>
              <w:t>CONTEÚDO DO FORMULÁRIO DE REFERÊNCIA</w:t>
            </w:r>
          </w:p>
        </w:tc>
      </w:tr>
      <w:tr w:rsidR="000751B7" w:rsidRPr="00EF6082" w:rsidTr="00E93B21">
        <w:tc>
          <w:tcPr>
            <w:tcW w:w="5000" w:type="pct"/>
          </w:tcPr>
          <w:p w:rsidR="000751B7" w:rsidRPr="00EF6082" w:rsidRDefault="000751B7" w:rsidP="00E12D86">
            <w:pPr>
              <w:numPr>
                <w:ilvl w:val="0"/>
                <w:numId w:val="3"/>
              </w:numPr>
              <w:autoSpaceDE w:val="0"/>
              <w:autoSpaceDN w:val="0"/>
              <w:adjustRightInd w:val="0"/>
              <w:spacing w:before="120" w:after="120" w:line="360" w:lineRule="auto"/>
              <w:ind w:left="0" w:firstLine="0"/>
              <w:jc w:val="both"/>
              <w:rPr>
                <w:rFonts w:ascii="Arial" w:eastAsia="Arial Unicode MS" w:hAnsi="Arial" w:cs="Arial"/>
                <w:b/>
                <w:i/>
              </w:rPr>
            </w:pPr>
            <w:r w:rsidRPr="00EF6082">
              <w:rPr>
                <w:rFonts w:ascii="Arial" w:eastAsia="Arial Unicode MS" w:hAnsi="Arial" w:cs="Arial"/>
                <w:b/>
                <w:i/>
              </w:rPr>
              <w:t>Remuneração dos administradores</w:t>
            </w:r>
          </w:p>
        </w:tc>
      </w:tr>
      <w:tr w:rsidR="000751B7" w:rsidRPr="00EF6082" w:rsidTr="00E93B21">
        <w:tc>
          <w:tcPr>
            <w:tcW w:w="5000" w:type="pct"/>
          </w:tcPr>
          <w:p w:rsidR="000751B7" w:rsidRPr="00EF6082" w:rsidRDefault="000751B7" w:rsidP="00E12D86">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Descrever a política ou prática de remuneração do conselho de administração, da diretoria estatutária e não estatutária, do conselho fiscal, dos comitês estatutários e dos comitês de auditoria, de risco, financeiro e de remuneração, abordando os seguintes aspectos</w:t>
            </w:r>
            <w:r w:rsidRPr="00EF6082">
              <w:rPr>
                <w:rStyle w:val="Refdenotaderodap"/>
                <w:rFonts w:ascii="Arial" w:eastAsia="Arial Unicode MS" w:hAnsi="Arial" w:cs="Arial"/>
                <w:i/>
              </w:rPr>
              <w:footnoteReference w:id="1"/>
            </w:r>
            <w:r w:rsidRPr="00EF6082">
              <w:rPr>
                <w:rFonts w:ascii="Arial" w:eastAsia="Arial Unicode MS" w:hAnsi="Arial" w:cs="Arial"/>
                <w:i/>
              </w:rPr>
              <w:t>:</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5"/>
              </w:numPr>
              <w:tabs>
                <w:tab w:val="clear" w:pos="1224"/>
                <w:tab w:val="left" w:pos="497"/>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 xml:space="preserve">objetivos da política ou prática de remuneração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5"/>
              </w:numPr>
              <w:tabs>
                <w:tab w:val="clear" w:pos="1224"/>
                <w:tab w:val="left" w:pos="497"/>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composição da remuneração, indicando: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5"/>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 xml:space="preserve">descrição dos elementos da remuneração e os objetivos de cada um deles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5"/>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em relação aos 3 últimos exercícios sociais, qual a proporção de cada elemento na remuneração total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5"/>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metodologia de cálculo e de reajuste de cada um dos elementos da remuneração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5"/>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razões que justificam a composição da remuneração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5"/>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a existência de membros não remunerados pelo emissor e a razão para esse fato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5"/>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principais indicadores de desempenho que são levados em consideração na determinação de cada elemento da remuneração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5"/>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lastRenderedPageBreak/>
              <w:t xml:space="preserve">como a remuneração é estruturada para refletir a evolução dos indicadores de desempenho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5"/>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como a política ou prática de remuneração se alinha aos interesses do emissor de curto, médio e longo prazo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5"/>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 xml:space="preserve">existência de remuneração suportada por subsidiárias, controladas ou controladores diretos ou indiretos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5"/>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existência de qualquer remuneração ou benefício vinculado à ocorrência de determinado evento societário, tal como a alienação do controle societário do emissor</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Em relação à remuneração reconhecida no resultado dos 3 últimos exercícios sociais e à prevista para o exercício social corrente do conselho de administração, da diretoria estatutária e do conselho fiscal, elaborar tabela com o seguinte conteúdo</w:t>
            </w:r>
            <w:r w:rsidRPr="00EF6082">
              <w:rPr>
                <w:rStyle w:val="Refdenotaderodap"/>
                <w:rFonts w:ascii="Arial" w:eastAsia="Arial Unicode MS" w:hAnsi="Arial" w:cs="Arial"/>
                <w:i/>
              </w:rPr>
              <w:footnoteReference w:id="2"/>
            </w:r>
            <w:r w:rsidRPr="00EF6082">
              <w:rPr>
                <w:rFonts w:ascii="Arial" w:eastAsia="Arial Unicode MS" w:hAnsi="Arial" w:cs="Arial"/>
                <w:i/>
              </w:rPr>
              <w:t>:</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6"/>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órgão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6"/>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número total de membros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6"/>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número de membros remunerados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6"/>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remuneração segregada em:</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6"/>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remuneração fixa anual, segregada em:</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tabs>
                <w:tab w:val="num" w:pos="3060"/>
              </w:tabs>
              <w:autoSpaceDE w:val="0"/>
              <w:autoSpaceDN w:val="0"/>
              <w:adjustRightInd w:val="0"/>
              <w:spacing w:before="120" w:after="120" w:line="360" w:lineRule="auto"/>
              <w:ind w:left="2268" w:firstLine="0"/>
              <w:jc w:val="both"/>
              <w:rPr>
                <w:rFonts w:ascii="Arial" w:eastAsia="Arial Unicode MS" w:hAnsi="Arial" w:cs="Arial"/>
                <w:i/>
              </w:rPr>
            </w:pPr>
            <w:r w:rsidRPr="00EF6082">
              <w:rPr>
                <w:rFonts w:ascii="Arial" w:eastAsia="Arial Unicode MS" w:hAnsi="Arial" w:cs="Arial"/>
                <w:i/>
              </w:rPr>
              <w:t>salário ou pró-labore</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tabs>
                <w:tab w:val="num" w:pos="3060"/>
              </w:tabs>
              <w:autoSpaceDE w:val="0"/>
              <w:autoSpaceDN w:val="0"/>
              <w:adjustRightInd w:val="0"/>
              <w:spacing w:before="120" w:after="120" w:line="360" w:lineRule="auto"/>
              <w:ind w:left="2268" w:firstLine="0"/>
              <w:jc w:val="both"/>
              <w:rPr>
                <w:rFonts w:ascii="Arial" w:eastAsia="Arial Unicode MS" w:hAnsi="Arial" w:cs="Arial"/>
                <w:i/>
              </w:rPr>
            </w:pPr>
            <w:r w:rsidRPr="00EF6082">
              <w:rPr>
                <w:rFonts w:ascii="Arial" w:eastAsia="Arial Unicode MS" w:hAnsi="Arial" w:cs="Arial"/>
                <w:i/>
              </w:rPr>
              <w:t>benefícios diretos e indiretos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tabs>
                <w:tab w:val="num" w:pos="3060"/>
              </w:tabs>
              <w:autoSpaceDE w:val="0"/>
              <w:autoSpaceDN w:val="0"/>
              <w:adjustRightInd w:val="0"/>
              <w:spacing w:before="120" w:after="120" w:line="360" w:lineRule="auto"/>
              <w:ind w:left="2268" w:firstLine="0"/>
              <w:jc w:val="both"/>
              <w:rPr>
                <w:rFonts w:ascii="Arial" w:eastAsia="Arial Unicode MS" w:hAnsi="Arial" w:cs="Arial"/>
                <w:i/>
              </w:rPr>
            </w:pPr>
            <w:r w:rsidRPr="00EF6082">
              <w:rPr>
                <w:rFonts w:ascii="Arial" w:eastAsia="Arial Unicode MS" w:hAnsi="Arial" w:cs="Arial"/>
                <w:i/>
              </w:rPr>
              <w:t>remuneração por participação em comitês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tabs>
                <w:tab w:val="num" w:pos="3060"/>
              </w:tabs>
              <w:autoSpaceDE w:val="0"/>
              <w:autoSpaceDN w:val="0"/>
              <w:adjustRightInd w:val="0"/>
              <w:spacing w:before="120" w:after="120" w:line="360" w:lineRule="auto"/>
              <w:ind w:left="2268" w:firstLine="0"/>
              <w:jc w:val="both"/>
              <w:rPr>
                <w:rFonts w:ascii="Arial" w:eastAsia="Arial Unicode MS" w:hAnsi="Arial" w:cs="Arial"/>
                <w:i/>
              </w:rPr>
            </w:pPr>
            <w:r w:rsidRPr="00EF6082">
              <w:rPr>
                <w:rFonts w:ascii="Arial" w:eastAsia="Arial Unicode MS" w:hAnsi="Arial" w:cs="Arial"/>
                <w:i/>
              </w:rPr>
              <w:lastRenderedPageBreak/>
              <w:t>outros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6"/>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remuneração variável, segregada em:</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bônus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participação nos resultados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remuneração por participação em reuniões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comissões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4"/>
                <w:numId w:val="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outros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6"/>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benefícios pós-emprego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6"/>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benefícios motivados pela cessação do exercício do cargo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6"/>
              </w:numPr>
              <w:tabs>
                <w:tab w:val="clear" w:pos="1728"/>
              </w:tabs>
              <w:autoSpaceDE w:val="0"/>
              <w:autoSpaceDN w:val="0"/>
              <w:adjustRightInd w:val="0"/>
              <w:spacing w:before="120" w:after="120" w:line="360" w:lineRule="auto"/>
              <w:ind w:left="1490" w:firstLine="0"/>
              <w:jc w:val="both"/>
              <w:rPr>
                <w:rFonts w:ascii="Arial" w:eastAsia="Arial Unicode MS" w:hAnsi="Arial" w:cs="Arial"/>
                <w:i/>
              </w:rPr>
            </w:pPr>
            <w:r w:rsidRPr="00EF6082">
              <w:rPr>
                <w:rFonts w:ascii="Arial" w:eastAsia="Arial Unicode MS" w:hAnsi="Arial" w:cs="Arial"/>
                <w:i/>
              </w:rPr>
              <w:t>remuneração baseada em ações, incluindo opções</w:t>
            </w:r>
            <w:r w:rsidRPr="00EF6082">
              <w:rPr>
                <w:rStyle w:val="Refdenotaderodap"/>
                <w:rFonts w:ascii="Arial" w:eastAsia="Arial Unicode MS" w:hAnsi="Arial" w:cs="Arial"/>
                <w:i/>
              </w:rPr>
              <w:footnoteReference w:id="3"/>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6"/>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valor, por órgão, da remuneração do conselho de administração, da diretoria estatutária</w:t>
            </w:r>
            <w:r w:rsidRPr="00EF6082">
              <w:rPr>
                <w:rStyle w:val="Refdenotaderodap"/>
                <w:rFonts w:ascii="Arial" w:eastAsia="Arial Unicode MS" w:hAnsi="Arial" w:cs="Arial"/>
                <w:i/>
              </w:rPr>
              <w:footnoteReference w:id="4"/>
            </w:r>
            <w:r w:rsidRPr="00EF6082">
              <w:rPr>
                <w:rFonts w:ascii="Arial" w:eastAsia="Arial Unicode MS" w:hAnsi="Arial" w:cs="Arial"/>
                <w:i/>
              </w:rPr>
              <w:t xml:space="preserve"> e do conselho fiscal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6"/>
              </w:numPr>
              <w:tabs>
                <w:tab w:val="clear" w:pos="1224"/>
              </w:tabs>
              <w:autoSpaceDE w:val="0"/>
              <w:autoSpaceDN w:val="0"/>
              <w:adjustRightInd w:val="0"/>
              <w:spacing w:before="120" w:after="120" w:line="360" w:lineRule="auto"/>
              <w:ind w:left="781" w:firstLine="0"/>
              <w:jc w:val="both"/>
              <w:rPr>
                <w:rFonts w:ascii="Arial" w:eastAsia="Arial Unicode MS" w:hAnsi="Arial" w:cs="Arial"/>
                <w:i/>
              </w:rPr>
            </w:pPr>
            <w:r w:rsidRPr="00EF6082">
              <w:rPr>
                <w:rFonts w:ascii="Arial" w:eastAsia="Arial Unicode MS" w:hAnsi="Arial" w:cs="Arial"/>
                <w:i/>
              </w:rPr>
              <w:t>total da remuneração do conselho de administração, da diretoria estatutária e do conselho fiscal</w:t>
            </w:r>
            <w:r w:rsidRPr="00EF6082">
              <w:rPr>
                <w:rStyle w:val="Refdenotaderodap"/>
                <w:rFonts w:ascii="Arial" w:eastAsia="Arial Unicode MS" w:hAnsi="Arial" w:cs="Arial"/>
                <w:i/>
              </w:rPr>
              <w:footnoteReference w:id="5"/>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1"/>
                <w:numId w:val="3"/>
              </w:numPr>
              <w:tabs>
                <w:tab w:val="clear" w:pos="432"/>
                <w:tab w:val="num" w:pos="923"/>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Em relação à remuneração variável dos 3 últimos exercícios sociais e à prevista para o exercício social corrente do conselho de administração, da diretoria estatutária e do conselho fiscal, elaborar tabela com o seguinte conteúdo</w:t>
            </w:r>
            <w:r w:rsidRPr="00EF6082">
              <w:rPr>
                <w:rStyle w:val="Refdenotaderodap"/>
                <w:rFonts w:ascii="Arial" w:eastAsia="Arial Unicode MS" w:hAnsi="Arial" w:cs="Arial"/>
                <w:i/>
              </w:rPr>
              <w:footnoteReference w:id="6"/>
            </w:r>
            <w:r w:rsidRPr="00EF6082">
              <w:rPr>
                <w:rFonts w:ascii="Arial" w:eastAsia="Arial Unicode MS" w:hAnsi="Arial" w:cs="Arial"/>
                <w:i/>
              </w:rPr>
              <w:t>:</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7"/>
              </w:numPr>
              <w:tabs>
                <w:tab w:val="left" w:pos="1134"/>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lastRenderedPageBreak/>
              <w:t>órgão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7"/>
              </w:numPr>
              <w:tabs>
                <w:tab w:val="left" w:pos="1134"/>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total de membros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7"/>
              </w:numPr>
              <w:tabs>
                <w:tab w:val="left" w:pos="1134"/>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de membros remunerados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7"/>
              </w:numPr>
              <w:tabs>
                <w:tab w:val="left" w:pos="1134"/>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em relação ao bônus: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7"/>
              </w:numPr>
              <w:autoSpaceDE w:val="0"/>
              <w:autoSpaceDN w:val="0"/>
              <w:adjustRightInd w:val="0"/>
              <w:spacing w:before="120" w:after="120" w:line="360" w:lineRule="auto"/>
              <w:ind w:left="1701" w:firstLine="0"/>
              <w:jc w:val="both"/>
              <w:rPr>
                <w:rFonts w:ascii="Arial" w:eastAsia="Arial Unicode MS" w:hAnsi="Arial" w:cs="Arial"/>
                <w:i/>
              </w:rPr>
            </w:pPr>
            <w:r w:rsidRPr="00EF6082">
              <w:rPr>
                <w:rFonts w:ascii="Arial" w:eastAsia="Arial Unicode MS" w:hAnsi="Arial" w:cs="Arial"/>
                <w:i/>
              </w:rPr>
              <w:t>valor mínimo previsto no plano de remuneração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7"/>
              </w:numPr>
              <w:autoSpaceDE w:val="0"/>
              <w:autoSpaceDN w:val="0"/>
              <w:adjustRightInd w:val="0"/>
              <w:spacing w:before="120" w:after="120" w:line="360" w:lineRule="auto"/>
              <w:ind w:left="1701" w:firstLine="0"/>
              <w:jc w:val="both"/>
              <w:rPr>
                <w:rFonts w:ascii="Arial" w:eastAsia="Arial Unicode MS" w:hAnsi="Arial" w:cs="Arial"/>
                <w:i/>
              </w:rPr>
            </w:pPr>
            <w:r w:rsidRPr="00EF6082">
              <w:rPr>
                <w:rFonts w:ascii="Arial" w:eastAsia="Arial Unicode MS" w:hAnsi="Arial" w:cs="Arial"/>
                <w:i/>
              </w:rPr>
              <w:t>valor máximo previsto no plano de remuneração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7"/>
              </w:numPr>
              <w:autoSpaceDE w:val="0"/>
              <w:autoSpaceDN w:val="0"/>
              <w:adjustRightInd w:val="0"/>
              <w:spacing w:before="120" w:after="120" w:line="360" w:lineRule="auto"/>
              <w:ind w:left="1701" w:firstLine="0"/>
              <w:jc w:val="both"/>
              <w:rPr>
                <w:rFonts w:ascii="Arial" w:eastAsia="Arial Unicode MS" w:hAnsi="Arial" w:cs="Arial"/>
                <w:i/>
              </w:rPr>
            </w:pPr>
            <w:r w:rsidRPr="00EF6082">
              <w:rPr>
                <w:rFonts w:ascii="Arial" w:eastAsia="Arial Unicode MS" w:hAnsi="Arial" w:cs="Arial"/>
                <w:i/>
              </w:rPr>
              <w:t>valor previsto no plano de remuneração, caso as metas estabelecidas fossem atingidas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7"/>
              </w:numPr>
              <w:autoSpaceDE w:val="0"/>
              <w:autoSpaceDN w:val="0"/>
              <w:adjustRightInd w:val="0"/>
              <w:spacing w:before="120" w:after="120" w:line="360" w:lineRule="auto"/>
              <w:ind w:left="1701" w:firstLine="0"/>
              <w:jc w:val="both"/>
              <w:rPr>
                <w:rFonts w:ascii="Arial" w:eastAsia="Arial Unicode MS" w:hAnsi="Arial" w:cs="Arial"/>
                <w:i/>
              </w:rPr>
            </w:pPr>
            <w:r w:rsidRPr="00EF6082">
              <w:rPr>
                <w:rFonts w:ascii="Arial" w:eastAsia="Arial Unicode MS" w:hAnsi="Arial" w:cs="Arial"/>
                <w:i/>
              </w:rPr>
              <w:t>valor efetivamente reconhecido no resultado dos 3 últimos exercícios sociais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7"/>
              </w:numPr>
              <w:tabs>
                <w:tab w:val="left" w:pos="1134"/>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em relação à participação no resultado: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7"/>
              </w:numPr>
              <w:tabs>
                <w:tab w:val="num" w:pos="3060"/>
              </w:tabs>
              <w:autoSpaceDE w:val="0"/>
              <w:autoSpaceDN w:val="0"/>
              <w:adjustRightInd w:val="0"/>
              <w:spacing w:before="120" w:after="120" w:line="360" w:lineRule="auto"/>
              <w:ind w:left="1701" w:firstLine="0"/>
              <w:jc w:val="both"/>
              <w:rPr>
                <w:rFonts w:ascii="Arial" w:eastAsia="Arial Unicode MS" w:hAnsi="Arial" w:cs="Arial"/>
                <w:i/>
              </w:rPr>
            </w:pPr>
            <w:r w:rsidRPr="00EF6082">
              <w:rPr>
                <w:rFonts w:ascii="Arial" w:eastAsia="Arial Unicode MS" w:hAnsi="Arial" w:cs="Arial"/>
                <w:i/>
              </w:rPr>
              <w:t>valor mínimo previsto no plano de remuneração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7"/>
              </w:numPr>
              <w:tabs>
                <w:tab w:val="num" w:pos="3060"/>
              </w:tabs>
              <w:autoSpaceDE w:val="0"/>
              <w:autoSpaceDN w:val="0"/>
              <w:adjustRightInd w:val="0"/>
              <w:spacing w:before="120" w:after="120" w:line="360" w:lineRule="auto"/>
              <w:ind w:left="1701" w:firstLine="0"/>
              <w:jc w:val="both"/>
              <w:rPr>
                <w:rFonts w:ascii="Arial" w:eastAsia="Arial Unicode MS" w:hAnsi="Arial" w:cs="Arial"/>
                <w:i/>
              </w:rPr>
            </w:pPr>
            <w:r w:rsidRPr="00EF6082">
              <w:rPr>
                <w:rFonts w:ascii="Arial" w:eastAsia="Arial Unicode MS" w:hAnsi="Arial" w:cs="Arial"/>
                <w:i/>
              </w:rPr>
              <w:t>valor máximo previsto no plano de remuneração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7"/>
              </w:numPr>
              <w:tabs>
                <w:tab w:val="num" w:pos="3060"/>
              </w:tabs>
              <w:autoSpaceDE w:val="0"/>
              <w:autoSpaceDN w:val="0"/>
              <w:adjustRightInd w:val="0"/>
              <w:spacing w:before="120" w:after="120" w:line="360" w:lineRule="auto"/>
              <w:ind w:left="1701" w:firstLine="0"/>
              <w:jc w:val="both"/>
              <w:rPr>
                <w:rFonts w:ascii="Arial" w:eastAsia="Arial Unicode MS" w:hAnsi="Arial" w:cs="Arial"/>
                <w:i/>
              </w:rPr>
            </w:pPr>
            <w:r w:rsidRPr="00EF6082">
              <w:rPr>
                <w:rFonts w:ascii="Arial" w:eastAsia="Arial Unicode MS" w:hAnsi="Arial" w:cs="Arial"/>
                <w:i/>
              </w:rPr>
              <w:t>valor previsto no plano de remuneração, caso as metas estabelecidas fossem atingidas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7"/>
              </w:numPr>
              <w:tabs>
                <w:tab w:val="num" w:pos="3060"/>
              </w:tabs>
              <w:autoSpaceDE w:val="0"/>
              <w:autoSpaceDN w:val="0"/>
              <w:adjustRightInd w:val="0"/>
              <w:spacing w:before="120" w:after="120" w:line="360" w:lineRule="auto"/>
              <w:ind w:left="1701" w:firstLine="0"/>
              <w:jc w:val="both"/>
              <w:rPr>
                <w:rFonts w:ascii="Arial" w:eastAsia="Arial Unicode MS" w:hAnsi="Arial" w:cs="Arial"/>
                <w:i/>
              </w:rPr>
            </w:pPr>
            <w:r w:rsidRPr="00EF6082">
              <w:rPr>
                <w:rFonts w:ascii="Arial" w:eastAsia="Arial Unicode MS" w:hAnsi="Arial" w:cs="Arial"/>
                <w:i/>
              </w:rPr>
              <w:t>valor efetivamente reconhecido no resultado dos 3 últimos exercícios sociais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1"/>
                <w:numId w:val="3"/>
              </w:numPr>
              <w:tabs>
                <w:tab w:val="clear" w:pos="432"/>
                <w:tab w:val="num" w:pos="923"/>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Em relação ao plano de remuneração baseado em ações do conselho de administração e da diretoria estatutária, em vigor no último exercício social e previsto para o exercício social corrente, descrever:</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lastRenderedPageBreak/>
              <w:t>termos e condições gerais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principais objetivos do plano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forma como o plano contribui para esses objetivos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como o plano se insere na política de remuneração do emissor</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como o plano alinha os interesses dos administradores e do emissor a curto, médio e longo prazo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 xml:space="preserve">número máximo de ações abrangidas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máximo de opções a serem outorgadas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condições de aquisição de ações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critérios para fixação do preço de aquisição ou exercício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critérios para fixação do prazo de exercício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 xml:space="preserve">forma de liquidação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restrições à transferência das ações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critérios e eventos que, quando verificados, ocasionarão a suspensão, alteração ou extinção do plano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8"/>
              </w:numPr>
              <w:tabs>
                <w:tab w:val="num" w:pos="1620"/>
              </w:tabs>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efeitos da saída do administrador dos órgãos do emissor sobre seus direitos previstos no plano de remuneração baseado em ações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 xml:space="preserve">Em relação à remuneração baseada em ações reconhecida no resultado dos 3 últimos exercícios sociais e à prevista para o exercício social </w:t>
            </w:r>
            <w:r w:rsidRPr="00EF6082">
              <w:rPr>
                <w:rFonts w:ascii="Arial" w:eastAsia="Arial Unicode MS" w:hAnsi="Arial" w:cs="Arial"/>
                <w:i/>
              </w:rPr>
              <w:lastRenderedPageBreak/>
              <w:t>corrente, do conselho de administração e da diretoria estatutária, elaborar tabela com o seguinte conteúdo</w:t>
            </w:r>
            <w:r w:rsidRPr="00EF6082">
              <w:rPr>
                <w:rStyle w:val="Refdenotaderodap"/>
                <w:rFonts w:ascii="Arial" w:eastAsia="Arial Unicode MS" w:hAnsi="Arial" w:cs="Arial"/>
                <w:i/>
              </w:rPr>
              <w:footnoteReference w:id="7"/>
            </w:r>
            <w:r w:rsidRPr="00EF6082">
              <w:rPr>
                <w:rFonts w:ascii="Arial" w:eastAsia="Arial Unicode MS" w:hAnsi="Arial" w:cs="Arial"/>
                <w:i/>
              </w:rPr>
              <w:t xml:space="preserve">: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9"/>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lastRenderedPageBreak/>
              <w:t>órgão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9"/>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número total de membros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9"/>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número de membros remunerados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9"/>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 xml:space="preserve">em relação a cada outorga de opções de compra de ações: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9"/>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 xml:space="preserve">data de outorga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9"/>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quantidade de opções outorgadas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9"/>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prazo para que as opções se tornem exercíveis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9"/>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 xml:space="preserve">prazo máximo para exercício das opções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9"/>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 xml:space="preserve">prazo de restrição à transferência das ações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9"/>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preço médio ponderado de exercício de cada um dos seguintes grupos de opções: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0"/>
                <w:numId w:val="4"/>
              </w:numPr>
              <w:autoSpaceDE w:val="0"/>
              <w:autoSpaceDN w:val="0"/>
              <w:adjustRightInd w:val="0"/>
              <w:spacing w:before="120" w:after="120" w:line="360" w:lineRule="auto"/>
              <w:ind w:left="2127" w:firstLine="0"/>
              <w:jc w:val="both"/>
              <w:rPr>
                <w:rFonts w:ascii="Arial" w:eastAsia="Arial Unicode MS" w:hAnsi="Arial" w:cs="Arial"/>
                <w:i/>
              </w:rPr>
            </w:pPr>
            <w:r w:rsidRPr="00EF6082">
              <w:rPr>
                <w:rFonts w:ascii="Arial" w:eastAsia="Arial Unicode MS" w:hAnsi="Arial" w:cs="Arial"/>
                <w:i/>
              </w:rPr>
              <w:t>em aberto no início do exercício social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0"/>
                <w:numId w:val="4"/>
              </w:numPr>
              <w:autoSpaceDE w:val="0"/>
              <w:autoSpaceDN w:val="0"/>
              <w:adjustRightInd w:val="0"/>
              <w:spacing w:before="120" w:after="120" w:line="360" w:lineRule="auto"/>
              <w:ind w:left="2127" w:firstLine="0"/>
              <w:jc w:val="both"/>
              <w:rPr>
                <w:rFonts w:ascii="Arial" w:eastAsia="Arial Unicode MS" w:hAnsi="Arial" w:cs="Arial"/>
                <w:i/>
              </w:rPr>
            </w:pPr>
            <w:r w:rsidRPr="00EF6082">
              <w:rPr>
                <w:rFonts w:ascii="Arial" w:eastAsia="Arial Unicode MS" w:hAnsi="Arial" w:cs="Arial"/>
                <w:i/>
              </w:rPr>
              <w:t>perdidas durante o exercício social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0"/>
                <w:numId w:val="4"/>
              </w:numPr>
              <w:autoSpaceDE w:val="0"/>
              <w:autoSpaceDN w:val="0"/>
              <w:adjustRightInd w:val="0"/>
              <w:spacing w:before="120" w:after="120" w:line="360" w:lineRule="auto"/>
              <w:ind w:left="2127" w:firstLine="0"/>
              <w:jc w:val="both"/>
              <w:rPr>
                <w:rFonts w:ascii="Arial" w:eastAsia="Arial Unicode MS" w:hAnsi="Arial" w:cs="Arial"/>
                <w:i/>
              </w:rPr>
            </w:pPr>
            <w:r w:rsidRPr="00EF6082">
              <w:rPr>
                <w:rFonts w:ascii="Arial" w:eastAsia="Arial Unicode MS" w:hAnsi="Arial" w:cs="Arial"/>
                <w:i/>
              </w:rPr>
              <w:t>exercidas durante o exercício social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0"/>
                <w:numId w:val="4"/>
              </w:numPr>
              <w:autoSpaceDE w:val="0"/>
              <w:autoSpaceDN w:val="0"/>
              <w:adjustRightInd w:val="0"/>
              <w:spacing w:before="120" w:after="120" w:line="360" w:lineRule="auto"/>
              <w:ind w:left="2127" w:firstLine="0"/>
              <w:jc w:val="both"/>
              <w:rPr>
                <w:rFonts w:ascii="Arial" w:eastAsia="Arial Unicode MS" w:hAnsi="Arial" w:cs="Arial"/>
                <w:i/>
              </w:rPr>
            </w:pPr>
            <w:r w:rsidRPr="00EF6082">
              <w:rPr>
                <w:rFonts w:ascii="Arial" w:eastAsia="Arial Unicode MS" w:hAnsi="Arial" w:cs="Arial"/>
                <w:i/>
              </w:rPr>
              <w:t>expiradas durante o exercício social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9"/>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valor justo das opções na data de cada outorga</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9"/>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 xml:space="preserve">diluição potencial em caso de exercício de todas as opções </w:t>
            </w:r>
            <w:r w:rsidRPr="00EF6082">
              <w:rPr>
                <w:rFonts w:ascii="Arial" w:eastAsia="Arial Unicode MS" w:hAnsi="Arial" w:cs="Arial"/>
                <w:i/>
              </w:rPr>
              <w:lastRenderedPageBreak/>
              <w:t xml:space="preserve">outorgadas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lastRenderedPageBreak/>
              <w:t>Em relação às opções em aberto do conselho de administração e da diretoria estatutária ao final do último exercício social, elaborar tabela com o seguinte conteúdo</w:t>
            </w:r>
            <w:r w:rsidRPr="00EF6082">
              <w:rPr>
                <w:rStyle w:val="Refdenotaderodap"/>
                <w:rFonts w:ascii="Arial" w:eastAsia="Arial Unicode MS" w:hAnsi="Arial" w:cs="Arial"/>
                <w:i/>
              </w:rPr>
              <w:footnoteReference w:id="8"/>
            </w:r>
            <w:r w:rsidRPr="00EF6082">
              <w:rPr>
                <w:rFonts w:ascii="Arial" w:eastAsia="Arial Unicode MS" w:hAnsi="Arial" w:cs="Arial"/>
                <w:i/>
              </w:rPr>
              <w:t xml:space="preserve">: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10"/>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órgão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0"/>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número de membros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0"/>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número de membros remunerados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0"/>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 xml:space="preserve">em relação às opções ainda não exercíveis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quantidade</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data em que se tornarão exercíveis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prazo máximo para exercício das opções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prazo de restrição à transferência das ações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preço médio ponderado de exercício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valor justo das opções no último dia do exercício social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0"/>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 xml:space="preserve">em relação às opções exercíveis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quantidade</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prazo máximo para exercício das opções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prazo de restrição à transferência das ações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preço médio ponderado de exercício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lastRenderedPageBreak/>
              <w:t>valor justo das opções no último dia do exercício social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0"/>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valor justo do total das opções no último dia do exercício social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1"/>
                <w:numId w:val="3"/>
              </w:numPr>
              <w:tabs>
                <w:tab w:val="clear" w:pos="432"/>
                <w:tab w:val="num" w:pos="923"/>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Em relação às opções exercidas e ações entregues relativas à remuneração baseada em ações do conselho de administração e da diretoria estatutária, nos 3 últimos exercícios sociais, elaborar tabela com o seguinte conteúdo: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14"/>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órgão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4"/>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de membros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4"/>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de membros remunerados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4"/>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em relação às opções exercidas informar:</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3"/>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de ações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3"/>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preço médio ponderado de exercício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3"/>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valor total da diferença entre o valor de exercício e o valor de mercado das ações relativas às opções exercidas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4"/>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em relação às ações entregues informar:</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5"/>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de ações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5"/>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preço médio ponderado de aquisição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3"/>
                <w:numId w:val="15"/>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valor total da diferença entre o valor de aquisição e o valor de mercado das ações adquiridas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1"/>
                <w:numId w:val="3"/>
              </w:numPr>
              <w:tabs>
                <w:tab w:val="clear" w:pos="432"/>
              </w:tabs>
              <w:autoSpaceDE w:val="0"/>
              <w:autoSpaceDN w:val="0"/>
              <w:adjustRightInd w:val="0"/>
              <w:spacing w:before="120" w:after="120" w:line="360" w:lineRule="auto"/>
              <w:ind w:left="72" w:firstLine="284"/>
              <w:jc w:val="both"/>
              <w:rPr>
                <w:rFonts w:ascii="Arial" w:eastAsia="Arial Unicode MS" w:hAnsi="Arial" w:cs="Arial"/>
                <w:i/>
              </w:rPr>
            </w:pPr>
            <w:r w:rsidRPr="00EF6082">
              <w:rPr>
                <w:rFonts w:ascii="Arial" w:eastAsia="Arial Unicode MS" w:hAnsi="Arial" w:cs="Arial"/>
                <w:i/>
              </w:rPr>
              <w:t>Descrição sumária das informações necessárias para a compreensão dos dados divulgados nos itens 13.5 a 13.7, tal como a explicação do método de precificação do valor das ações e das opções, indicando, no mínimo: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2"/>
                <w:numId w:val="11"/>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lastRenderedPageBreak/>
              <w:t>modelo de precificação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1"/>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 xml:space="preserve">dados e premissas utilizadas no modelo de precificação, incluindo o preço médio ponderado das ações, preço de exercício, volatilidade esperada, prazo de vida da opção, dividendos esperados e a taxa de juros livre de risco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1"/>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método utilizado e as premissas assumidas para incorporar os efeitos esperados de exercício antecipado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1"/>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forma de determinação da volatilidade esperada</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1"/>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 xml:space="preserve">se alguma outra característica da opção foi incorporada na mensuração de seu valor justo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12D86">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Informar a quantidade de ações ou cotas direta ou indiretamente detidas, no Brasil ou no exterior, e outros valores mobiliários conversíveis em ações ou cotas, emitidos pelo emissor, seus controladores diretos ou indiretos, sociedades controladas ou sob controle comum, por membros do conselho de administração, da diretoria estatutária ou do conselho fiscal, agrupados por órgão</w:t>
            </w:r>
            <w:r w:rsidRPr="00EF6082">
              <w:rPr>
                <w:rStyle w:val="Refdenotaderodap"/>
                <w:rFonts w:ascii="Arial" w:eastAsia="Arial Unicode MS" w:hAnsi="Arial" w:cs="Arial"/>
                <w:i/>
              </w:rPr>
              <w:footnoteReference w:id="9"/>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883ECE">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Em relação aos planos de previdência em vigor conferidos aos membros do conselho de administração e aos diretores estatutários, fornecer as seguintes informações em forma de tabela:</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órgão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número de membros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número de membros remunerados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nome do plano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lastRenderedPageBreak/>
              <w:t xml:space="preserve">quantidade de administradores que reúnem as condições para se aposentar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condições para se aposentar antecipadamente</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 xml:space="preserve">valor atualizado das contribuições acumuladas no plano de previdência até o encerramento do último exercício social, descontada a parcela relativa a contribuições feitas diretamente pelos administradores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valor total acumulado das contribuições realizadas durante o último exercício social, descontada a parcela relativa a contribuições feitas diretamente pelos administradores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2"/>
              </w:numPr>
              <w:autoSpaceDE w:val="0"/>
              <w:autoSpaceDN w:val="0"/>
              <w:adjustRightInd w:val="0"/>
              <w:spacing w:before="120" w:after="120" w:line="360" w:lineRule="auto"/>
              <w:ind w:left="1134" w:firstLine="0"/>
              <w:jc w:val="both"/>
              <w:rPr>
                <w:rFonts w:ascii="Arial" w:eastAsia="Arial Unicode MS" w:hAnsi="Arial" w:cs="Arial"/>
                <w:i/>
              </w:rPr>
            </w:pPr>
            <w:r w:rsidRPr="00EF6082">
              <w:rPr>
                <w:rFonts w:ascii="Arial" w:eastAsia="Arial Unicode MS" w:hAnsi="Arial" w:cs="Arial"/>
                <w:i/>
              </w:rPr>
              <w:t>se há a possibilidade de resgate antecipado e quais as condições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5C797F">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Em forma de tabela, indicar, para os 3 últimos exercícios sociais, em relação ao conselho de administração, à diretoria estatutária e ao conselho fiscal</w:t>
            </w:r>
            <w:r w:rsidRPr="00EF6082">
              <w:rPr>
                <w:rStyle w:val="Refdenotaderodap"/>
                <w:rFonts w:ascii="Arial" w:eastAsia="Arial Unicode MS" w:hAnsi="Arial" w:cs="Arial"/>
                <w:i/>
              </w:rPr>
              <w:footnoteReference w:id="10"/>
            </w:r>
            <w:r w:rsidRPr="00EF6082">
              <w:rPr>
                <w:rFonts w:ascii="Arial" w:eastAsia="Arial Unicode MS" w:hAnsi="Arial" w:cs="Arial"/>
                <w:i/>
              </w:rPr>
              <w:t>:</w:t>
            </w:r>
          </w:p>
        </w:tc>
      </w:tr>
      <w:tr w:rsidR="000751B7" w:rsidRPr="00EF6082" w:rsidTr="00775870">
        <w:trPr>
          <w:trHeight w:val="242"/>
        </w:trPr>
        <w:tc>
          <w:tcPr>
            <w:tcW w:w="5000" w:type="pct"/>
            <w:tcBorders>
              <w:top w:val="single" w:sz="4" w:space="0" w:color="auto"/>
              <w:left w:val="single" w:sz="4" w:space="0" w:color="auto"/>
              <w:bottom w:val="single" w:sz="4" w:space="0" w:color="auto"/>
              <w:right w:val="single" w:sz="4" w:space="0" w:color="auto"/>
            </w:tcBorders>
          </w:tcPr>
          <w:p w:rsidR="000751B7" w:rsidRPr="00EF6082" w:rsidRDefault="00775870" w:rsidP="00EF6082">
            <w:pPr>
              <w:numPr>
                <w:ilvl w:val="2"/>
                <w:numId w:val="1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Ó</w:t>
            </w:r>
            <w:r w:rsidR="000751B7" w:rsidRPr="00EF6082">
              <w:rPr>
                <w:rFonts w:ascii="Arial" w:eastAsia="Arial Unicode MS" w:hAnsi="Arial" w:cs="Arial"/>
                <w:i/>
              </w:rPr>
              <w:t>rgão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de membros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número de membros remunerados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valor da maior remuneração individual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valor da menor remuneração individual</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EF6082">
            <w:pPr>
              <w:numPr>
                <w:ilvl w:val="2"/>
                <w:numId w:val="16"/>
              </w:numPr>
              <w:autoSpaceDE w:val="0"/>
              <w:autoSpaceDN w:val="0"/>
              <w:adjustRightInd w:val="0"/>
              <w:spacing w:before="120" w:after="120" w:line="360" w:lineRule="auto"/>
              <w:ind w:firstLine="0"/>
              <w:jc w:val="both"/>
              <w:rPr>
                <w:rFonts w:ascii="Arial" w:eastAsia="Arial Unicode MS" w:hAnsi="Arial" w:cs="Arial"/>
                <w:i/>
              </w:rPr>
            </w:pPr>
            <w:r w:rsidRPr="00EF6082">
              <w:rPr>
                <w:rFonts w:ascii="Arial" w:eastAsia="Arial Unicode MS" w:hAnsi="Arial" w:cs="Arial"/>
                <w:i/>
              </w:rPr>
              <w:t>valor médio de remuneração individual (total da remuneração dividido pelo número de membros remunerados)</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5C797F">
            <w:pPr>
              <w:numPr>
                <w:ilvl w:val="1"/>
                <w:numId w:val="3"/>
              </w:numPr>
              <w:tabs>
                <w:tab w:val="clear" w:pos="432"/>
                <w:tab w:val="num" w:pos="923"/>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 xml:space="preserve">Descrever arranjos contratuais, apólices de seguros ou outros instrumentos que estruturem mecanismos de remuneração ou indenização para os administradores em caso de destituição do cargo ou de aposentadoria, indicando </w:t>
            </w:r>
            <w:r w:rsidRPr="00EF6082">
              <w:rPr>
                <w:rFonts w:ascii="Arial" w:eastAsia="Arial Unicode MS" w:hAnsi="Arial" w:cs="Arial"/>
                <w:i/>
              </w:rPr>
              <w:lastRenderedPageBreak/>
              <w:t xml:space="preserve">quais as consequências financeiras para o emissor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5C797F">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lastRenderedPageBreak/>
              <w:t>Em relação aos 3 últimos exercícios sociais, indicar o percentual da remuneração total de cada órgão reconhecida no resultado do emissor referente a membros do conselho de administração, da diretoria estatutária ou do conselho fiscal que sejam partes relacionadas aos controladores, diretos ou indiretos, conforme definido pelas regras contábeis que tratam desse assunto</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13717F">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 xml:space="preserve">Em relação aos 3 últimos exercícios sociais, indicar os valores reconhecidos no resultado do emissor como remuneração de membros do conselho de administração, da diretoria estatutária ou do conselho fiscal, agrupados por órgão, por qualquer razão que não a função que ocupam, como por exemplo, comissões e serviços de consultoria ou assessoria prestados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13717F">
            <w:pPr>
              <w:numPr>
                <w:ilvl w:val="1"/>
                <w:numId w:val="3"/>
              </w:numPr>
              <w:tabs>
                <w:tab w:val="clear" w:pos="432"/>
              </w:tabs>
              <w:autoSpaceDE w:val="0"/>
              <w:autoSpaceDN w:val="0"/>
              <w:adjustRightInd w:val="0"/>
              <w:spacing w:before="120" w:after="120" w:line="360" w:lineRule="auto"/>
              <w:ind w:left="0" w:firstLine="356"/>
              <w:jc w:val="both"/>
              <w:rPr>
                <w:rFonts w:ascii="Arial" w:eastAsia="Arial Unicode MS" w:hAnsi="Arial" w:cs="Arial"/>
                <w:i/>
              </w:rPr>
            </w:pPr>
            <w:r w:rsidRPr="00EF6082">
              <w:rPr>
                <w:rFonts w:ascii="Arial" w:eastAsia="Arial Unicode MS" w:hAnsi="Arial" w:cs="Arial"/>
                <w:i/>
              </w:rPr>
              <w:t xml:space="preserve">Em relação aos 3 últimos exercícios sociais, indicar os valores reconhecidos no resultado de controladores, diretos ou indiretos, de sociedades sob controle comum e de controladas do emissor, como remuneração de membros do conselho de administração, da diretoria estatutária ou do conselho fiscal do emissor, agrupados por órgão, especificando a que título tais valores foram atribuídos a tais indivíduos </w:t>
            </w:r>
          </w:p>
        </w:tc>
      </w:tr>
      <w:tr w:rsidR="000751B7" w:rsidRPr="00EF6082" w:rsidTr="00E93B21">
        <w:tc>
          <w:tcPr>
            <w:tcW w:w="5000" w:type="pct"/>
            <w:tcBorders>
              <w:top w:val="single" w:sz="4" w:space="0" w:color="auto"/>
              <w:left w:val="single" w:sz="4" w:space="0" w:color="auto"/>
              <w:bottom w:val="single" w:sz="4" w:space="0" w:color="auto"/>
              <w:right w:val="single" w:sz="4" w:space="0" w:color="auto"/>
            </w:tcBorders>
          </w:tcPr>
          <w:p w:rsidR="000751B7" w:rsidRPr="00EF6082" w:rsidRDefault="000751B7" w:rsidP="0013717F">
            <w:pPr>
              <w:numPr>
                <w:ilvl w:val="1"/>
                <w:numId w:val="3"/>
              </w:numPr>
              <w:tabs>
                <w:tab w:val="clear" w:pos="432"/>
              </w:tabs>
              <w:autoSpaceDE w:val="0"/>
              <w:autoSpaceDN w:val="0"/>
              <w:adjustRightInd w:val="0"/>
              <w:spacing w:before="120" w:after="120" w:line="360" w:lineRule="auto"/>
              <w:ind w:left="72" w:firstLine="284"/>
              <w:jc w:val="both"/>
              <w:rPr>
                <w:rFonts w:ascii="Arial" w:eastAsia="Arial Unicode MS" w:hAnsi="Arial" w:cs="Arial"/>
                <w:i/>
              </w:rPr>
            </w:pPr>
            <w:r w:rsidRPr="00EF6082">
              <w:rPr>
                <w:rFonts w:ascii="Arial" w:eastAsia="Arial Unicode MS" w:hAnsi="Arial" w:cs="Arial"/>
                <w:i/>
              </w:rPr>
              <w:t xml:space="preserve">Fornecer outras informações que o emissor julgue relevantes   </w:t>
            </w:r>
          </w:p>
        </w:tc>
      </w:tr>
    </w:tbl>
    <w:p w:rsidR="000751B7" w:rsidRPr="00EF6082" w:rsidRDefault="000751B7" w:rsidP="00EF6082">
      <w:pPr>
        <w:spacing w:before="120" w:after="120" w:line="360" w:lineRule="auto"/>
        <w:rPr>
          <w:rFonts w:ascii="Arial" w:hAnsi="Arial" w:cs="Arial"/>
          <w:i/>
        </w:rPr>
      </w:pPr>
      <w:r w:rsidRPr="00EF6082">
        <w:rPr>
          <w:rFonts w:ascii="Arial" w:hAnsi="Arial" w:cs="Arial"/>
          <w:i/>
        </w:rPr>
        <w:t xml:space="preserve">Fonte: </w:t>
      </w:r>
      <w:hyperlink r:id="rId8" w:history="1">
        <w:r w:rsidRPr="00EF6082">
          <w:rPr>
            <w:rStyle w:val="Hyperlink"/>
            <w:rFonts w:ascii="Arial" w:hAnsi="Arial" w:cs="Arial"/>
            <w:i/>
          </w:rPr>
          <w:t>http://www.cvm.gov.br/legislacao/instrucoes/inst480.html</w:t>
        </w:r>
      </w:hyperlink>
    </w:p>
    <w:p w:rsidR="000751B7" w:rsidRDefault="000751B7" w:rsidP="00EF6082">
      <w:pPr>
        <w:spacing w:before="120" w:after="120" w:line="360" w:lineRule="auto"/>
        <w:rPr>
          <w:rFonts w:ascii="Arial" w:hAnsi="Arial" w:cs="Arial"/>
          <w:i/>
        </w:rPr>
      </w:pPr>
    </w:p>
    <w:p w:rsidR="0013717F" w:rsidRDefault="0013717F" w:rsidP="00EF6082">
      <w:pPr>
        <w:spacing w:before="120" w:after="120" w:line="360" w:lineRule="auto"/>
        <w:rPr>
          <w:rFonts w:ascii="Arial" w:hAnsi="Arial" w:cs="Arial"/>
          <w:i/>
        </w:rPr>
      </w:pPr>
    </w:p>
    <w:p w:rsidR="0013717F" w:rsidRDefault="0013717F" w:rsidP="00EF6082">
      <w:pPr>
        <w:spacing w:before="120" w:after="120" w:line="360" w:lineRule="auto"/>
        <w:rPr>
          <w:rFonts w:ascii="Arial" w:hAnsi="Arial" w:cs="Arial"/>
          <w:i/>
        </w:rPr>
      </w:pPr>
    </w:p>
    <w:p w:rsidR="0013717F" w:rsidRDefault="0013717F" w:rsidP="00EF6082">
      <w:pPr>
        <w:spacing w:before="120" w:after="120" w:line="360" w:lineRule="auto"/>
        <w:rPr>
          <w:rFonts w:ascii="Arial" w:hAnsi="Arial" w:cs="Arial"/>
          <w:i/>
        </w:rPr>
      </w:pPr>
    </w:p>
    <w:p w:rsidR="0013717F" w:rsidRDefault="0013717F" w:rsidP="00EF6082">
      <w:pPr>
        <w:spacing w:before="120" w:after="120" w:line="360" w:lineRule="auto"/>
        <w:rPr>
          <w:rFonts w:ascii="Arial" w:hAnsi="Arial" w:cs="Arial"/>
          <w:i/>
        </w:rPr>
      </w:pPr>
    </w:p>
    <w:p w:rsidR="0013717F" w:rsidRDefault="0013717F" w:rsidP="00EF6082">
      <w:pPr>
        <w:spacing w:before="120" w:after="120" w:line="360" w:lineRule="auto"/>
        <w:rPr>
          <w:rFonts w:ascii="Arial" w:hAnsi="Arial" w:cs="Arial"/>
          <w:i/>
        </w:rPr>
      </w:pPr>
    </w:p>
    <w:p w:rsidR="0013717F" w:rsidRPr="00EF6082" w:rsidRDefault="0013717F" w:rsidP="00EF6082">
      <w:pPr>
        <w:spacing w:before="120" w:after="120" w:line="360" w:lineRule="auto"/>
        <w:rPr>
          <w:rFonts w:ascii="Arial" w:hAnsi="Arial" w:cs="Arial"/>
          <w:i/>
        </w:rPr>
      </w:pPr>
    </w:p>
    <w:tbl>
      <w:tblPr>
        <w:tblStyle w:val="Tabelacomgrade"/>
        <w:tblW w:w="0" w:type="auto"/>
        <w:tblLook w:val="04A0" w:firstRow="1" w:lastRow="0" w:firstColumn="1" w:lastColumn="0" w:noHBand="0" w:noVBand="1"/>
      </w:tblPr>
      <w:tblGrid>
        <w:gridCol w:w="8644"/>
      </w:tblGrid>
      <w:tr w:rsidR="000751B7" w:rsidRPr="00EF6082" w:rsidTr="00E93B21">
        <w:tc>
          <w:tcPr>
            <w:tcW w:w="8644" w:type="dxa"/>
          </w:tcPr>
          <w:p w:rsidR="000751B7" w:rsidRPr="00EF6082" w:rsidRDefault="000751B7" w:rsidP="00EF6082">
            <w:pPr>
              <w:spacing w:before="120" w:after="120" w:line="360" w:lineRule="auto"/>
              <w:jc w:val="center"/>
              <w:rPr>
                <w:rFonts w:ascii="Arial" w:eastAsiaTheme="minorHAnsi" w:hAnsi="Arial" w:cs="Arial"/>
                <w:b/>
                <w:bCs/>
                <w:i/>
                <w:color w:val="347457"/>
                <w:lang w:eastAsia="en-US"/>
              </w:rPr>
            </w:pPr>
            <w:r w:rsidRPr="00EF6082">
              <w:rPr>
                <w:rFonts w:ascii="Arial" w:eastAsiaTheme="minorHAnsi" w:hAnsi="Arial" w:cs="Arial"/>
                <w:b/>
                <w:bCs/>
                <w:i/>
                <w:lang w:eastAsia="en-US"/>
              </w:rPr>
              <w:lastRenderedPageBreak/>
              <w:t>OFÍCIO-CIRCULAR/CVM/SEP/Nº01/2017</w:t>
            </w:r>
          </w:p>
        </w:tc>
      </w:tr>
      <w:tr w:rsidR="000751B7" w:rsidRPr="00EF6082" w:rsidTr="00E93B21">
        <w:tc>
          <w:tcPr>
            <w:tcW w:w="8644" w:type="dxa"/>
          </w:tcPr>
          <w:p w:rsidR="000751B7" w:rsidRPr="00EF6082" w:rsidRDefault="000751B7" w:rsidP="00EF6082">
            <w:pPr>
              <w:spacing w:before="120" w:after="120" w:line="360" w:lineRule="auto"/>
              <w:rPr>
                <w:rFonts w:ascii="Arial" w:eastAsiaTheme="minorHAnsi" w:hAnsi="Arial" w:cs="Arial"/>
                <w:b/>
                <w:bCs/>
                <w:i/>
                <w:color w:val="347457"/>
                <w:lang w:eastAsia="en-US"/>
              </w:rPr>
            </w:pPr>
          </w:p>
        </w:tc>
      </w:tr>
      <w:tr w:rsidR="000751B7" w:rsidRPr="00EF6082" w:rsidTr="00E93B21">
        <w:tc>
          <w:tcPr>
            <w:tcW w:w="8644" w:type="dxa"/>
          </w:tcPr>
          <w:p w:rsidR="000751B7" w:rsidRPr="00EF6082" w:rsidRDefault="000751B7" w:rsidP="00EF6082">
            <w:pPr>
              <w:spacing w:before="120" w:after="120" w:line="360" w:lineRule="auto"/>
              <w:rPr>
                <w:rFonts w:ascii="Arial" w:eastAsiaTheme="minorHAnsi" w:hAnsi="Arial" w:cs="Arial"/>
                <w:b/>
                <w:bCs/>
                <w:i/>
                <w:lang w:eastAsia="en-US"/>
              </w:rPr>
            </w:pPr>
            <w:r w:rsidRPr="00EF6082">
              <w:rPr>
                <w:rFonts w:ascii="Arial" w:eastAsiaTheme="minorHAnsi" w:hAnsi="Arial" w:cs="Arial"/>
                <w:b/>
                <w:bCs/>
                <w:i/>
                <w:lang w:eastAsia="en-US"/>
              </w:rPr>
              <w:t>Capítulo 10. Orientações para a Elaboração do Formulário de Referência</w:t>
            </w:r>
          </w:p>
        </w:tc>
      </w:tr>
      <w:tr w:rsidR="000751B7" w:rsidRPr="00EF6082" w:rsidTr="00E93B21">
        <w:tc>
          <w:tcPr>
            <w:tcW w:w="8644" w:type="dxa"/>
          </w:tcPr>
          <w:p w:rsidR="000751B7" w:rsidRPr="00EF6082" w:rsidRDefault="000751B7" w:rsidP="00EF6082">
            <w:pPr>
              <w:spacing w:before="120" w:after="120" w:line="360" w:lineRule="auto"/>
              <w:rPr>
                <w:rFonts w:ascii="Arial" w:eastAsiaTheme="minorHAnsi" w:hAnsi="Arial" w:cs="Arial"/>
                <w:b/>
                <w:bCs/>
                <w:i/>
                <w:lang w:eastAsia="en-US"/>
              </w:rPr>
            </w:pPr>
            <w:r w:rsidRPr="00EF6082">
              <w:rPr>
                <w:rFonts w:ascii="Arial" w:eastAsiaTheme="minorHAnsi" w:hAnsi="Arial" w:cs="Arial"/>
                <w:b/>
                <w:bCs/>
                <w:i/>
                <w:lang w:eastAsia="en-US"/>
              </w:rPr>
              <w:t>Item 10.2.13 Remuneração dos Administradores</w:t>
            </w:r>
          </w:p>
        </w:tc>
      </w:tr>
    </w:tbl>
    <w:p w:rsidR="000751B7" w:rsidRPr="00EF6082" w:rsidRDefault="000751B7" w:rsidP="00EF6082">
      <w:pPr>
        <w:spacing w:before="120" w:after="120" w:line="360" w:lineRule="auto"/>
        <w:rPr>
          <w:rFonts w:ascii="Arial" w:eastAsiaTheme="minorHAnsi" w:hAnsi="Arial" w:cs="Arial"/>
          <w:bCs/>
          <w:i/>
          <w:lang w:eastAsia="en-US"/>
        </w:rPr>
      </w:pPr>
      <w:r w:rsidRPr="00EF6082">
        <w:rPr>
          <w:rFonts w:ascii="Arial" w:eastAsiaTheme="minorHAnsi" w:hAnsi="Arial" w:cs="Arial"/>
          <w:bCs/>
          <w:i/>
          <w:lang w:eastAsia="en-US"/>
        </w:rPr>
        <w:t xml:space="preserve">Fonte: </w:t>
      </w:r>
      <w:hyperlink r:id="rId9" w:history="1">
        <w:r w:rsidRPr="00EF6082">
          <w:rPr>
            <w:rStyle w:val="Hyperlink"/>
            <w:rFonts w:ascii="Arial" w:eastAsiaTheme="minorHAnsi" w:hAnsi="Arial" w:cs="Arial"/>
            <w:bCs/>
            <w:i/>
            <w:lang w:eastAsia="en-US"/>
          </w:rPr>
          <w:t>http://www.cvm.gov.br/legislacao/oficios-circulares/sep/oc-sep-0117.html</w:t>
        </w:r>
      </w:hyperlink>
    </w:p>
    <w:p w:rsidR="000751B7" w:rsidRPr="00EF6082" w:rsidRDefault="000751B7" w:rsidP="00EF6082">
      <w:pPr>
        <w:spacing w:before="120" w:after="120" w:line="360" w:lineRule="auto"/>
        <w:rPr>
          <w:rFonts w:ascii="Arial" w:eastAsiaTheme="minorHAnsi" w:hAnsi="Arial" w:cs="Arial"/>
          <w:bCs/>
          <w:i/>
          <w:lang w:eastAsia="en-US"/>
        </w:rPr>
      </w:pPr>
    </w:p>
    <w:tbl>
      <w:tblPr>
        <w:tblStyle w:val="Tabelacomgrade"/>
        <w:tblW w:w="0" w:type="auto"/>
        <w:tblLook w:val="04A0" w:firstRow="1" w:lastRow="0" w:firstColumn="1" w:lastColumn="0" w:noHBand="0" w:noVBand="1"/>
      </w:tblPr>
      <w:tblGrid>
        <w:gridCol w:w="8644"/>
      </w:tblGrid>
      <w:tr w:rsidR="000751B7" w:rsidRPr="00EF6082" w:rsidTr="00E93B21">
        <w:tc>
          <w:tcPr>
            <w:tcW w:w="8644" w:type="dxa"/>
          </w:tcPr>
          <w:p w:rsidR="000751B7" w:rsidRPr="00EF6082" w:rsidRDefault="000751B7" w:rsidP="00EF6082">
            <w:pPr>
              <w:spacing w:before="120" w:after="120" w:line="360" w:lineRule="auto"/>
              <w:jc w:val="center"/>
              <w:rPr>
                <w:rFonts w:ascii="Arial" w:eastAsiaTheme="minorHAnsi" w:hAnsi="Arial" w:cs="Arial"/>
                <w:b/>
                <w:bCs/>
                <w:i/>
                <w:lang w:eastAsia="en-US"/>
              </w:rPr>
            </w:pPr>
            <w:r w:rsidRPr="00EF6082">
              <w:rPr>
                <w:rFonts w:ascii="Arial" w:eastAsiaTheme="minorHAnsi" w:hAnsi="Arial" w:cs="Arial"/>
                <w:b/>
                <w:bCs/>
                <w:i/>
                <w:lang w:eastAsia="en-US"/>
              </w:rPr>
              <w:t>FORMULÁRIO DE REFERÊNCIA CEL</w:t>
            </w:r>
            <w:r w:rsidR="00E92371" w:rsidRPr="00EF6082">
              <w:rPr>
                <w:rFonts w:ascii="Arial" w:eastAsiaTheme="minorHAnsi" w:hAnsi="Arial" w:cs="Arial"/>
                <w:b/>
                <w:bCs/>
                <w:i/>
                <w:lang w:eastAsia="en-US"/>
              </w:rPr>
              <w:t>E</w:t>
            </w:r>
            <w:r w:rsidRPr="00EF6082">
              <w:rPr>
                <w:rFonts w:ascii="Arial" w:eastAsiaTheme="minorHAnsi" w:hAnsi="Arial" w:cs="Arial"/>
                <w:b/>
                <w:bCs/>
                <w:i/>
                <w:lang w:eastAsia="en-US"/>
              </w:rPr>
              <w:t>SC 2017</w:t>
            </w:r>
          </w:p>
        </w:tc>
      </w:tr>
      <w:tr w:rsidR="000751B7" w:rsidRPr="00EF6082" w:rsidTr="00E93B21">
        <w:tc>
          <w:tcPr>
            <w:tcW w:w="8644" w:type="dxa"/>
          </w:tcPr>
          <w:p w:rsidR="000751B7" w:rsidRPr="00EF6082" w:rsidRDefault="000751B7" w:rsidP="00EF6082">
            <w:pPr>
              <w:spacing w:before="120" w:after="120" w:line="360" w:lineRule="auto"/>
              <w:rPr>
                <w:rFonts w:ascii="Arial" w:eastAsiaTheme="minorHAnsi" w:hAnsi="Arial" w:cs="Arial"/>
                <w:bCs/>
                <w:i/>
                <w:lang w:eastAsia="en-US"/>
              </w:rPr>
            </w:pPr>
          </w:p>
        </w:tc>
      </w:tr>
      <w:tr w:rsidR="000751B7" w:rsidRPr="00EF6082" w:rsidTr="00E93B21">
        <w:tc>
          <w:tcPr>
            <w:tcW w:w="8644" w:type="dxa"/>
          </w:tcPr>
          <w:p w:rsidR="000751B7" w:rsidRPr="00EF6082" w:rsidRDefault="000751B7" w:rsidP="00EF6082">
            <w:pPr>
              <w:spacing w:before="120" w:after="120" w:line="360" w:lineRule="auto"/>
              <w:rPr>
                <w:rFonts w:ascii="Arial" w:eastAsiaTheme="minorHAnsi" w:hAnsi="Arial" w:cs="Arial"/>
                <w:bCs/>
                <w:i/>
                <w:lang w:eastAsia="en-US"/>
              </w:rPr>
            </w:pPr>
            <w:r w:rsidRPr="00EF6082">
              <w:rPr>
                <w:rFonts w:ascii="Arial" w:eastAsiaTheme="minorHAnsi" w:hAnsi="Arial" w:cs="Arial"/>
                <w:bCs/>
                <w:i/>
                <w:lang w:eastAsia="en-US"/>
              </w:rPr>
              <w:t>Divulgação Remuneração dos Administradores – Capítulo 13</w:t>
            </w:r>
          </w:p>
        </w:tc>
      </w:tr>
    </w:tbl>
    <w:p w:rsidR="000751B7" w:rsidRPr="00EF6082" w:rsidRDefault="000751B7" w:rsidP="00EF6082">
      <w:pPr>
        <w:spacing w:before="120" w:after="120" w:line="360" w:lineRule="auto"/>
        <w:rPr>
          <w:rFonts w:ascii="Arial" w:hAnsi="Arial" w:cs="Arial"/>
          <w:i/>
        </w:rPr>
      </w:pPr>
      <w:r w:rsidRPr="00EF6082">
        <w:rPr>
          <w:rFonts w:ascii="Arial" w:hAnsi="Arial" w:cs="Arial"/>
          <w:i/>
        </w:rPr>
        <w:t xml:space="preserve">Fonte: </w:t>
      </w:r>
      <w:hyperlink r:id="rId10" w:history="1">
        <w:r w:rsidRPr="00EF6082">
          <w:rPr>
            <w:rStyle w:val="Hyperlink"/>
            <w:rFonts w:ascii="Arial" w:hAnsi="Arial" w:cs="Arial"/>
            <w:i/>
          </w:rPr>
          <w:t>http://celesc.firbweb.com.br/informaes-financeiras-2/arquivos-cvm/</w:t>
        </w:r>
      </w:hyperlink>
    </w:p>
    <w:p w:rsidR="000751B7" w:rsidRPr="00EF6082" w:rsidRDefault="000751B7" w:rsidP="00EF6082">
      <w:pPr>
        <w:pStyle w:val="Default"/>
        <w:spacing w:before="120" w:after="120" w:line="360" w:lineRule="auto"/>
        <w:ind w:left="360"/>
        <w:jc w:val="both"/>
        <w:rPr>
          <w:rFonts w:ascii="Arial" w:hAnsi="Arial" w:cs="Arial"/>
        </w:rPr>
      </w:pPr>
    </w:p>
    <w:sectPr w:rsidR="000751B7" w:rsidRPr="00EF6082" w:rsidSect="00EF6082">
      <w:headerReference w:type="default" r:id="rId11"/>
      <w:headerReference w:type="first" r:id="rId12"/>
      <w:pgSz w:w="11906" w:h="16838"/>
      <w:pgMar w:top="1701" w:right="1134" w:bottom="1134" w:left="1701" w:header="8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B4" w:rsidRDefault="00D621B4" w:rsidP="00D801D1">
      <w:r>
        <w:separator/>
      </w:r>
    </w:p>
  </w:endnote>
  <w:endnote w:type="continuationSeparator" w:id="0">
    <w:p w:rsidR="00D621B4" w:rsidRDefault="00D621B4" w:rsidP="00D8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B4" w:rsidRDefault="00D621B4" w:rsidP="00D801D1">
      <w:r>
        <w:separator/>
      </w:r>
    </w:p>
  </w:footnote>
  <w:footnote w:type="continuationSeparator" w:id="0">
    <w:p w:rsidR="00D621B4" w:rsidRDefault="00D621B4" w:rsidP="00D801D1">
      <w:r>
        <w:continuationSeparator/>
      </w:r>
    </w:p>
  </w:footnote>
  <w:footnote w:id="1">
    <w:p w:rsidR="000751B7" w:rsidRPr="00E12D86" w:rsidRDefault="000751B7" w:rsidP="00E12D86">
      <w:pPr>
        <w:pStyle w:val="Textodenotaderodap"/>
        <w:jc w:val="both"/>
        <w:rPr>
          <w:rFonts w:ascii="Arial" w:hAnsi="Arial" w:cs="Arial"/>
        </w:rPr>
      </w:pPr>
      <w:r w:rsidRPr="00E12D86">
        <w:rPr>
          <w:rStyle w:val="Refdenotaderodap"/>
          <w:rFonts w:ascii="Arial" w:eastAsia="Arial Unicode MS" w:hAnsi="Arial" w:cs="Arial"/>
        </w:rPr>
        <w:footnoteRef/>
      </w:r>
      <w:r w:rsidRPr="00E12D86">
        <w:rPr>
          <w:rFonts w:ascii="Arial" w:hAnsi="Arial" w:cs="Arial"/>
        </w:rPr>
        <w:t xml:space="preserve"> </w:t>
      </w:r>
      <w:r w:rsidRPr="00E12D86">
        <w:rPr>
          <w:rFonts w:ascii="Arial" w:hAnsi="Arial" w:cs="Arial"/>
          <w:szCs w:val="24"/>
        </w:rPr>
        <w:t xml:space="preserve">As informações sobre a política de remuneração devem abranger </w:t>
      </w:r>
      <w:r w:rsidRPr="00E12D86">
        <w:rPr>
          <w:rFonts w:ascii="Arial" w:hAnsi="Arial" w:cs="Arial"/>
        </w:rPr>
        <w:t>comitês de auditoria, de risco, financeiro e de remuneração, bem como estruturas organizacionais assemelhadas, ainda que tais comitês ou estruturas não sejam estatutários, desde que tais comitês ou estruturas participem do processo de decisão dos órgãos de administração ou de gestão do emissor como consultores ou fiscais.</w:t>
      </w:r>
    </w:p>
  </w:footnote>
  <w:footnote w:id="2">
    <w:p w:rsidR="000751B7" w:rsidRPr="00E12D86" w:rsidRDefault="000751B7" w:rsidP="00E12D86">
      <w:pPr>
        <w:pStyle w:val="Textodenotaderodap"/>
        <w:jc w:val="both"/>
        <w:rPr>
          <w:rFonts w:ascii="Arial" w:hAnsi="Arial" w:cs="Arial"/>
        </w:rPr>
      </w:pPr>
      <w:r w:rsidRPr="00E12D86">
        <w:rPr>
          <w:rStyle w:val="Refdenotaderodap"/>
          <w:rFonts w:ascii="Arial" w:eastAsia="Arial Unicode MS" w:hAnsi="Arial" w:cs="Arial"/>
        </w:rPr>
        <w:footnoteRef/>
      </w:r>
      <w:r w:rsidRPr="00E12D86">
        <w:rPr>
          <w:rFonts w:ascii="Arial" w:hAnsi="Arial" w:cs="Arial"/>
        </w:rPr>
        <w:t xml:space="preserve"> Para evitar a duplicidade, os valores computados como remuneração dos membros do conselho de administração devem ser descontados da remuneração dos diretores que também façam parte daquele órgão.</w:t>
      </w:r>
    </w:p>
  </w:footnote>
  <w:footnote w:id="3">
    <w:p w:rsidR="000751B7" w:rsidRPr="00E12D86" w:rsidRDefault="000751B7" w:rsidP="00E12D86">
      <w:pPr>
        <w:pStyle w:val="Textodenotaderodap"/>
        <w:jc w:val="both"/>
        <w:rPr>
          <w:rFonts w:ascii="Arial" w:hAnsi="Arial" w:cs="Arial"/>
        </w:rPr>
      </w:pPr>
      <w:r w:rsidRPr="00E12D86">
        <w:rPr>
          <w:rStyle w:val="Refdenotaderodap"/>
          <w:rFonts w:ascii="Arial" w:eastAsia="Arial Unicode MS" w:hAnsi="Arial" w:cs="Arial"/>
        </w:rPr>
        <w:footnoteRef/>
      </w:r>
      <w:r w:rsidRPr="00E12D86">
        <w:rPr>
          <w:rFonts w:ascii="Arial" w:hAnsi="Arial" w:cs="Arial"/>
        </w:rPr>
        <w:t xml:space="preserve"> </w:t>
      </w:r>
      <w:r w:rsidRPr="00E12D86">
        <w:rPr>
          <w:rFonts w:ascii="Arial" w:hAnsi="Arial" w:cs="Arial"/>
          <w:szCs w:val="24"/>
        </w:rPr>
        <w:t>Este campo deve ser preenchido de acordo com a definição de remuneração baseada em ações, paga em ações ou dinheiro, conforme normas contábeis que tratam do assunto.</w:t>
      </w:r>
    </w:p>
  </w:footnote>
  <w:footnote w:id="4">
    <w:p w:rsidR="000751B7" w:rsidRPr="00E12D86" w:rsidRDefault="000751B7" w:rsidP="00E12D86">
      <w:pPr>
        <w:pStyle w:val="Textodenotaderodap"/>
        <w:spacing w:before="120"/>
        <w:jc w:val="both"/>
        <w:rPr>
          <w:rFonts w:ascii="Arial" w:hAnsi="Arial" w:cs="Arial"/>
        </w:rPr>
      </w:pPr>
      <w:r w:rsidRPr="00E12D86">
        <w:rPr>
          <w:rStyle w:val="Refdenotaderodap"/>
          <w:rFonts w:ascii="Arial" w:eastAsia="Arial Unicode MS" w:hAnsi="Arial" w:cs="Arial"/>
        </w:rPr>
        <w:footnoteRef/>
      </w:r>
      <w:r w:rsidRPr="00E12D86">
        <w:rPr>
          <w:rFonts w:ascii="Arial" w:hAnsi="Arial" w:cs="Arial"/>
        </w:rPr>
        <w:t xml:space="preserve"> Para evitar a duplicidade, os valores computados como remuneração dos membros do conselho de administração devem ser descontados da remuneração dos diretores que também façam parte daquele órgão.</w:t>
      </w:r>
    </w:p>
  </w:footnote>
  <w:footnote w:id="5">
    <w:p w:rsidR="000751B7" w:rsidRPr="00E12D86" w:rsidRDefault="000751B7" w:rsidP="00E12D86">
      <w:pPr>
        <w:pStyle w:val="Textodenotaderodap"/>
        <w:spacing w:before="120"/>
        <w:jc w:val="both"/>
        <w:rPr>
          <w:rFonts w:ascii="Arial" w:hAnsi="Arial" w:cs="Arial"/>
        </w:rPr>
      </w:pPr>
      <w:r w:rsidRPr="00E12D86">
        <w:rPr>
          <w:rStyle w:val="Refdenotaderodap"/>
          <w:rFonts w:ascii="Arial" w:eastAsia="Arial Unicode MS" w:hAnsi="Arial" w:cs="Arial"/>
        </w:rPr>
        <w:footnoteRef/>
      </w:r>
      <w:r w:rsidRPr="00E12D86">
        <w:rPr>
          <w:rFonts w:ascii="Arial" w:hAnsi="Arial" w:cs="Arial"/>
        </w:rPr>
        <w:t xml:space="preserve"> Para evitar a duplicidade, os valores computados como remuneração dos membros do conselho de administração devem ser descontados da remuneração dos diretores que também façam parte daquele órgão.</w:t>
      </w:r>
    </w:p>
  </w:footnote>
  <w:footnote w:id="6">
    <w:p w:rsidR="000751B7" w:rsidRDefault="000751B7" w:rsidP="00E12D86">
      <w:pPr>
        <w:pStyle w:val="Textodenotaderodap"/>
        <w:spacing w:before="120"/>
        <w:jc w:val="both"/>
      </w:pPr>
      <w:r w:rsidRPr="00E12D86">
        <w:rPr>
          <w:rStyle w:val="Refdenotaderodap"/>
          <w:rFonts w:ascii="Arial" w:eastAsia="Arial Unicode MS" w:hAnsi="Arial" w:cs="Arial"/>
        </w:rPr>
        <w:footnoteRef/>
      </w:r>
      <w:r w:rsidRPr="00E12D86">
        <w:rPr>
          <w:rFonts w:ascii="Arial" w:hAnsi="Arial" w:cs="Arial"/>
        </w:rPr>
        <w:t xml:space="preserve"> Para evitar a duplicidade, os valores computados como remuneração dos membros do conselho de administração devem ser descontados da remuneração dos diretores que também façam parte daquele órgão.</w:t>
      </w:r>
    </w:p>
  </w:footnote>
  <w:footnote w:id="7">
    <w:p w:rsidR="000751B7" w:rsidRPr="00E12D86" w:rsidRDefault="000751B7" w:rsidP="00E12D86">
      <w:pPr>
        <w:pStyle w:val="Textodenotaderodap"/>
        <w:jc w:val="both"/>
        <w:rPr>
          <w:rFonts w:ascii="Arial" w:hAnsi="Arial" w:cs="Arial"/>
        </w:rPr>
      </w:pPr>
      <w:r w:rsidRPr="00E12D86">
        <w:rPr>
          <w:rStyle w:val="Refdenotaderodap"/>
          <w:rFonts w:ascii="Arial" w:eastAsia="Arial Unicode MS" w:hAnsi="Arial" w:cs="Arial"/>
        </w:rPr>
        <w:footnoteRef/>
      </w:r>
      <w:r w:rsidRPr="00E12D86">
        <w:rPr>
          <w:rFonts w:ascii="Arial" w:hAnsi="Arial" w:cs="Arial"/>
        </w:rPr>
        <w:t xml:space="preserve"> Para evitar a duplicidade, os valores </w:t>
      </w:r>
      <w:r w:rsidRPr="00E12D86">
        <w:rPr>
          <w:rFonts w:ascii="Arial" w:hAnsi="Arial" w:cs="Arial"/>
          <w:color w:val="000000"/>
        </w:rPr>
        <w:t>computados como remuneração dos</w:t>
      </w:r>
      <w:r w:rsidRPr="00E12D86">
        <w:rPr>
          <w:rFonts w:ascii="Arial" w:hAnsi="Arial" w:cs="Arial"/>
        </w:rPr>
        <w:t xml:space="preserve"> membros do conselho de administração</w:t>
      </w:r>
      <w:r w:rsidRPr="00E12D86">
        <w:rPr>
          <w:rFonts w:ascii="Arial" w:hAnsi="Arial" w:cs="Arial"/>
          <w:color w:val="000000"/>
        </w:rPr>
        <w:t xml:space="preserve"> devem ser descontados da remuneração dos diretores que também façam parte daquele órgão</w:t>
      </w:r>
      <w:r w:rsidRPr="00E12D86">
        <w:rPr>
          <w:rFonts w:ascii="Arial" w:hAnsi="Arial" w:cs="Arial"/>
        </w:rPr>
        <w:t>.</w:t>
      </w:r>
    </w:p>
  </w:footnote>
  <w:footnote w:id="8">
    <w:p w:rsidR="000751B7" w:rsidRPr="00E12D86" w:rsidRDefault="000751B7" w:rsidP="00E12D86">
      <w:pPr>
        <w:pStyle w:val="Textodenotaderodap"/>
        <w:jc w:val="both"/>
        <w:rPr>
          <w:rFonts w:ascii="Arial" w:hAnsi="Arial" w:cs="Arial"/>
        </w:rPr>
      </w:pPr>
      <w:r w:rsidRPr="00E12D86">
        <w:rPr>
          <w:rStyle w:val="Refdenotaderodap"/>
          <w:rFonts w:ascii="Arial" w:eastAsia="Arial Unicode MS" w:hAnsi="Arial" w:cs="Arial"/>
        </w:rPr>
        <w:footnoteRef/>
      </w:r>
      <w:r w:rsidRPr="00E12D86">
        <w:rPr>
          <w:rFonts w:ascii="Arial" w:hAnsi="Arial" w:cs="Arial"/>
        </w:rPr>
        <w:t xml:space="preserve"> Para evitar a duplicidade, os valores computados como remuneração dos membros do conselho de administração devem ser descontados da remuneração dos diretores que também façam parte daquele órgão.</w:t>
      </w:r>
    </w:p>
  </w:footnote>
  <w:footnote w:id="9">
    <w:p w:rsidR="000751B7" w:rsidRPr="00883ECE" w:rsidRDefault="000751B7" w:rsidP="00883ECE">
      <w:pPr>
        <w:pStyle w:val="Textodenotaderodap"/>
        <w:jc w:val="both"/>
        <w:rPr>
          <w:rFonts w:ascii="Arial" w:hAnsi="Arial" w:cs="Arial"/>
        </w:rPr>
      </w:pPr>
      <w:r w:rsidRPr="00883ECE">
        <w:rPr>
          <w:rStyle w:val="Refdenotaderodap"/>
          <w:rFonts w:ascii="Arial" w:eastAsia="Arial Unicode MS" w:hAnsi="Arial" w:cs="Arial"/>
        </w:rPr>
        <w:footnoteRef/>
      </w:r>
      <w:r w:rsidRPr="00883ECE">
        <w:rPr>
          <w:rFonts w:ascii="Arial" w:hAnsi="Arial" w:cs="Arial"/>
        </w:rPr>
        <w:t xml:space="preserve"> </w:t>
      </w:r>
      <w:r w:rsidRPr="00883ECE">
        <w:rPr>
          <w:rFonts w:ascii="Arial" w:hAnsi="Arial" w:cs="Arial"/>
          <w:szCs w:val="24"/>
        </w:rPr>
        <w:t>Para evitar a duplicidade, quando uma mesma pessoa for membro do conselho de administração e da diretoria, os valores mobiliários por ela detidos devem ser divulgados exclusivamente no montante de valores mobiliários detidos pelos membros do conselho de administração.</w:t>
      </w:r>
    </w:p>
  </w:footnote>
  <w:footnote w:id="10">
    <w:p w:rsidR="000751B7" w:rsidRPr="0013717F" w:rsidRDefault="000751B7" w:rsidP="000751B7">
      <w:pPr>
        <w:pStyle w:val="Textodenotaderodap"/>
        <w:rPr>
          <w:rFonts w:ascii="Arial" w:hAnsi="Arial" w:cs="Arial"/>
        </w:rPr>
      </w:pPr>
      <w:r w:rsidRPr="0013717F">
        <w:rPr>
          <w:rStyle w:val="Refdenotaderodap"/>
          <w:rFonts w:ascii="Arial" w:eastAsia="Arial Unicode MS" w:hAnsi="Arial" w:cs="Arial"/>
        </w:rPr>
        <w:footnoteRef/>
      </w:r>
      <w:r w:rsidRPr="0013717F">
        <w:rPr>
          <w:rFonts w:ascii="Arial" w:hAnsi="Arial" w:cs="Arial"/>
        </w:rPr>
        <w:t xml:space="preserve"> </w:t>
      </w:r>
      <w:r w:rsidRPr="0013717F">
        <w:rPr>
          <w:rFonts w:ascii="Arial" w:hAnsi="Arial" w:cs="Arial"/>
          <w:szCs w:val="24"/>
        </w:rPr>
        <w:t>Para averiguação dos valores a serem inseridos neste item, utilizar os critérios estabelecidos no item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35915"/>
      <w:docPartObj>
        <w:docPartGallery w:val="Page Numbers (Top of Page)"/>
        <w:docPartUnique/>
      </w:docPartObj>
    </w:sdtPr>
    <w:sdtEndPr/>
    <w:sdtContent>
      <w:p w:rsidR="00E12D86" w:rsidRDefault="00E12D86">
        <w:pPr>
          <w:pStyle w:val="Cabealho"/>
          <w:jc w:val="right"/>
        </w:pPr>
      </w:p>
      <w:tbl>
        <w:tblPr>
          <w:tblW w:w="9135" w:type="dxa"/>
          <w:tblLayout w:type="fixed"/>
          <w:tblCellMar>
            <w:left w:w="0" w:type="dxa"/>
            <w:right w:w="0" w:type="dxa"/>
          </w:tblCellMar>
          <w:tblLook w:val="04A0" w:firstRow="1" w:lastRow="0" w:firstColumn="1" w:lastColumn="0" w:noHBand="0" w:noVBand="1"/>
        </w:tblPr>
        <w:tblGrid>
          <w:gridCol w:w="777"/>
          <w:gridCol w:w="8358"/>
        </w:tblGrid>
        <w:tr w:rsidR="00E12D86" w:rsidTr="00E12D86">
          <w:trPr>
            <w:cantSplit/>
          </w:trPr>
          <w:tc>
            <w:tcPr>
              <w:tcW w:w="777" w:type="dxa"/>
              <w:vAlign w:val="center"/>
              <w:hideMark/>
            </w:tcPr>
            <w:p w:rsidR="00E12D86" w:rsidRDefault="00E12D86">
              <w:pPr>
                <w:pStyle w:val="Cabealho"/>
                <w:spacing w:line="276" w:lineRule="auto"/>
                <w:rPr>
                  <w:lang w:eastAsia="en-US"/>
                </w:rPr>
              </w:pPr>
              <w:r>
                <w:rPr>
                  <w:noProof/>
                </w:rPr>
                <w:drawing>
                  <wp:inline distT="0" distB="0" distL="0" distR="0" wp14:anchorId="39A71EFF" wp14:editId="5B5CEA1C">
                    <wp:extent cx="438150" cy="5238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364" w:type="dxa"/>
              <w:vAlign w:val="center"/>
              <w:hideMark/>
            </w:tcPr>
            <w:p w:rsidR="00E12D86" w:rsidRDefault="00E12D86">
              <w:pPr>
                <w:pStyle w:val="Cabealho"/>
                <w:spacing w:line="276" w:lineRule="auto"/>
                <w:rPr>
                  <w:rFonts w:cs="Arial"/>
                  <w:b/>
                  <w:lang w:eastAsia="en-US"/>
                </w:rPr>
              </w:pPr>
              <w:r>
                <w:rPr>
                  <w:rFonts w:cs="Arial"/>
                  <w:b/>
                  <w:lang w:eastAsia="en-US"/>
                </w:rPr>
                <w:t>ESTADO DE SANTA CATARINA</w:t>
              </w:r>
            </w:p>
          </w:tc>
        </w:tr>
      </w:tbl>
      <w:p w:rsidR="00EF6082" w:rsidRDefault="00EF6082">
        <w:pPr>
          <w:pStyle w:val="Cabealho"/>
          <w:jc w:val="right"/>
        </w:pPr>
        <w:r>
          <w:fldChar w:fldCharType="begin"/>
        </w:r>
        <w:r>
          <w:instrText>PAGE   \* MERGEFORMAT</w:instrText>
        </w:r>
        <w:r>
          <w:fldChar w:fldCharType="separate"/>
        </w:r>
        <w:r w:rsidR="00182869">
          <w:rPr>
            <w:noProof/>
          </w:rPr>
          <w:t>14</w:t>
        </w:r>
        <w:r>
          <w:fldChar w:fldCharType="end"/>
        </w:r>
      </w:p>
    </w:sdtContent>
  </w:sdt>
  <w:p w:rsidR="00BF0463" w:rsidRPr="005F2816" w:rsidRDefault="00BF0463">
    <w:pPr>
      <w:pStyle w:val="Cabealho"/>
      <w:rPr>
        <w:rFonts w:asciiTheme="minorHAnsi" w:hAnsiTheme="minorHAnsi"/>
        <w:sz w:val="22"/>
        <w:szCs w:val="2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35" w:type="dxa"/>
      <w:tblLayout w:type="fixed"/>
      <w:tblCellMar>
        <w:left w:w="0" w:type="dxa"/>
        <w:right w:w="0" w:type="dxa"/>
      </w:tblCellMar>
      <w:tblLook w:val="04A0" w:firstRow="1" w:lastRow="0" w:firstColumn="1" w:lastColumn="0" w:noHBand="0" w:noVBand="1"/>
    </w:tblPr>
    <w:tblGrid>
      <w:gridCol w:w="777"/>
      <w:gridCol w:w="8358"/>
    </w:tblGrid>
    <w:tr w:rsidR="00EF6082" w:rsidTr="00EF6082">
      <w:trPr>
        <w:cantSplit/>
      </w:trPr>
      <w:tc>
        <w:tcPr>
          <w:tcW w:w="777" w:type="dxa"/>
          <w:vAlign w:val="center"/>
          <w:hideMark/>
        </w:tcPr>
        <w:p w:rsidR="00EF6082" w:rsidRDefault="00EF6082">
          <w:pPr>
            <w:pStyle w:val="Cabealho"/>
            <w:spacing w:line="276" w:lineRule="auto"/>
            <w:rPr>
              <w:lang w:eastAsia="en-US"/>
            </w:rPr>
          </w:pPr>
          <w:r>
            <w:rPr>
              <w:noProof/>
            </w:rPr>
            <w:drawing>
              <wp:inline distT="0" distB="0" distL="0" distR="0">
                <wp:extent cx="438150" cy="5238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364" w:type="dxa"/>
          <w:vAlign w:val="center"/>
          <w:hideMark/>
        </w:tcPr>
        <w:p w:rsidR="00EF6082" w:rsidRDefault="00EF6082">
          <w:pPr>
            <w:pStyle w:val="Cabealho"/>
            <w:spacing w:line="276" w:lineRule="auto"/>
            <w:rPr>
              <w:rFonts w:cs="Arial"/>
              <w:b/>
              <w:lang w:eastAsia="en-US"/>
            </w:rPr>
          </w:pPr>
          <w:r>
            <w:rPr>
              <w:rFonts w:cs="Arial"/>
              <w:b/>
              <w:lang w:eastAsia="en-US"/>
            </w:rPr>
            <w:t>ESTADO DE SANTA CATARINA</w:t>
          </w:r>
        </w:p>
      </w:tc>
    </w:tr>
  </w:tbl>
  <w:p w:rsidR="00EF6082" w:rsidRDefault="00EF60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189A4660"/>
    <w:lvl w:ilvl="0" w:tplc="04160001">
      <w:start w:val="1"/>
      <w:numFmt w:val="bullet"/>
      <w:lvlText w:val=""/>
      <w:lvlJc w:val="left"/>
      <w:pPr>
        <w:ind w:left="720" w:hanging="360"/>
      </w:pPr>
      <w:rPr>
        <w:rFonts w:ascii="Symbol" w:hAnsi="Symbol" w:hint="default"/>
        <w:spacing w:val="0"/>
      </w:rPr>
    </w:lvl>
    <w:lvl w:ilvl="1" w:tplc="04160003">
      <w:start w:val="1"/>
      <w:numFmt w:val="bullet"/>
      <w:lvlText w:val="o"/>
      <w:lvlJc w:val="left"/>
      <w:pPr>
        <w:ind w:left="1440" w:hanging="360"/>
      </w:pPr>
      <w:rPr>
        <w:rFonts w:ascii="Courier New" w:hAnsi="Courier New" w:hint="default"/>
        <w:spacing w:val="0"/>
      </w:rPr>
    </w:lvl>
    <w:lvl w:ilvl="2" w:tplc="04160005">
      <w:start w:val="1"/>
      <w:numFmt w:val="bullet"/>
      <w:lvlText w:val=""/>
      <w:lvlJc w:val="left"/>
      <w:pPr>
        <w:ind w:left="2160" w:hanging="360"/>
      </w:pPr>
      <w:rPr>
        <w:rFonts w:ascii="Wingdings" w:hAnsi="Wingdings" w:hint="default"/>
        <w:spacing w:val="0"/>
      </w:rPr>
    </w:lvl>
    <w:lvl w:ilvl="3" w:tplc="04160001">
      <w:start w:val="1"/>
      <w:numFmt w:val="bullet"/>
      <w:lvlText w:val=""/>
      <w:lvlJc w:val="left"/>
      <w:pPr>
        <w:ind w:left="2880" w:hanging="360"/>
      </w:pPr>
      <w:rPr>
        <w:rFonts w:ascii="Symbol" w:hAnsi="Symbol" w:hint="default"/>
        <w:spacing w:val="0"/>
      </w:rPr>
    </w:lvl>
    <w:lvl w:ilvl="4" w:tplc="04160003">
      <w:start w:val="1"/>
      <w:numFmt w:val="bullet"/>
      <w:lvlText w:val="o"/>
      <w:lvlJc w:val="left"/>
      <w:pPr>
        <w:ind w:left="3600" w:hanging="360"/>
      </w:pPr>
      <w:rPr>
        <w:rFonts w:ascii="Courier New" w:hAnsi="Courier New" w:hint="default"/>
        <w:spacing w:val="0"/>
      </w:rPr>
    </w:lvl>
    <w:lvl w:ilvl="5" w:tplc="04160005">
      <w:start w:val="1"/>
      <w:numFmt w:val="bullet"/>
      <w:lvlText w:val=""/>
      <w:lvlJc w:val="left"/>
      <w:pPr>
        <w:ind w:left="4320" w:hanging="360"/>
      </w:pPr>
      <w:rPr>
        <w:rFonts w:ascii="Wingdings" w:hAnsi="Wingdings" w:hint="default"/>
        <w:spacing w:val="0"/>
      </w:rPr>
    </w:lvl>
    <w:lvl w:ilvl="6" w:tplc="04160001">
      <w:start w:val="1"/>
      <w:numFmt w:val="bullet"/>
      <w:lvlText w:val=""/>
      <w:lvlJc w:val="left"/>
      <w:pPr>
        <w:ind w:left="5040" w:hanging="360"/>
      </w:pPr>
      <w:rPr>
        <w:rFonts w:ascii="Symbol" w:hAnsi="Symbol" w:hint="default"/>
        <w:spacing w:val="0"/>
      </w:rPr>
    </w:lvl>
    <w:lvl w:ilvl="7" w:tplc="04160003">
      <w:start w:val="1"/>
      <w:numFmt w:val="bullet"/>
      <w:lvlText w:val="o"/>
      <w:lvlJc w:val="left"/>
      <w:pPr>
        <w:ind w:left="5760" w:hanging="360"/>
      </w:pPr>
      <w:rPr>
        <w:rFonts w:ascii="Courier New" w:hAnsi="Courier New" w:hint="default"/>
        <w:spacing w:val="0"/>
      </w:rPr>
    </w:lvl>
    <w:lvl w:ilvl="8" w:tplc="04160005">
      <w:start w:val="1"/>
      <w:numFmt w:val="bullet"/>
      <w:lvlText w:val=""/>
      <w:lvlJc w:val="left"/>
      <w:pPr>
        <w:ind w:left="6480" w:hanging="360"/>
      </w:pPr>
      <w:rPr>
        <w:rFonts w:ascii="Wingdings" w:hAnsi="Wingdings" w:hint="default"/>
        <w:spacing w:val="0"/>
      </w:rPr>
    </w:lvl>
  </w:abstractNum>
  <w:abstractNum w:abstractNumId="1">
    <w:nsid w:val="00000015"/>
    <w:multiLevelType w:val="multilevel"/>
    <w:tmpl w:val="9670B9C8"/>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432"/>
        </w:tabs>
        <w:ind w:left="432" w:hanging="432"/>
      </w:pPr>
      <w:rPr>
        <w:rFonts w:ascii="Times New Roman" w:hAnsi="Times New Roman" w:cs="Times New Roman" w:hint="default"/>
        <w:b/>
        <w:i w:val="0"/>
        <w:spacing w:val="0"/>
        <w:sz w:val="24"/>
        <w:vertAlign w:val="baseline"/>
      </w:rPr>
    </w:lvl>
    <w:lvl w:ilvl="2">
      <w:start w:val="1"/>
      <w:numFmt w:val="lowerLetter"/>
      <w:lvlText w:val="%3."/>
      <w:lvlJc w:val="left"/>
      <w:pPr>
        <w:tabs>
          <w:tab w:val="num" w:pos="1044"/>
        </w:tabs>
        <w:ind w:left="104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2">
    <w:nsid w:val="0000002B"/>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3">
    <w:nsid w:val="0DC85E5E"/>
    <w:multiLevelType w:val="multilevel"/>
    <w:tmpl w:val="1B90CB0C"/>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vertAlign w:val="baseline"/>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vertAlign w:val="baseli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4">
    <w:nsid w:val="0F352892"/>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5">
    <w:nsid w:val="10E422AC"/>
    <w:multiLevelType w:val="hybridMultilevel"/>
    <w:tmpl w:val="4724975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BC2033"/>
    <w:multiLevelType w:val="hybridMultilevel"/>
    <w:tmpl w:val="1A8EFE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DB5C32"/>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8">
    <w:nsid w:val="2F2423EA"/>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9">
    <w:nsid w:val="39D444BA"/>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0">
    <w:nsid w:val="3F295751"/>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1">
    <w:nsid w:val="4BF82401"/>
    <w:multiLevelType w:val="hybridMultilevel"/>
    <w:tmpl w:val="CD62D13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1E0569E"/>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3">
    <w:nsid w:val="56425EBC"/>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4">
    <w:nsid w:val="5E3723C9"/>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5">
    <w:nsid w:val="721A22D5"/>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6">
    <w:nsid w:val="77694057"/>
    <w:multiLevelType w:val="multilevel"/>
    <w:tmpl w:val="0A7A43D6"/>
    <w:lvl w:ilvl="0">
      <w:start w:val="13"/>
      <w:numFmt w:val="decimal"/>
      <w:suff w:val="space"/>
      <w:lvlText w:val="%1."/>
      <w:lvlJc w:val="left"/>
      <w:pPr>
        <w:ind w:left="567" w:hanging="567"/>
      </w:pPr>
      <w:rPr>
        <w:rFonts w:ascii="Times New Roman" w:hAnsi="Times New Roman" w:cs="Times New Roman" w:hint="default"/>
        <w:b/>
        <w:i w:val="0"/>
        <w:spacing w:val="0"/>
        <w:sz w:val="24"/>
      </w:rPr>
    </w:lvl>
    <w:lvl w:ilvl="1">
      <w:start w:val="1"/>
      <w:numFmt w:val="decimal"/>
      <w:lvlText w:val="%1.%2."/>
      <w:lvlJc w:val="left"/>
      <w:pPr>
        <w:tabs>
          <w:tab w:val="num" w:pos="792"/>
        </w:tabs>
        <w:ind w:left="792" w:hanging="432"/>
      </w:pPr>
      <w:rPr>
        <w:rFonts w:ascii="Times New Roman" w:hAnsi="Times New Roman" w:cs="Times New Roman" w:hint="default"/>
        <w:b/>
        <w:i w:val="0"/>
        <w:spacing w:val="0"/>
        <w:sz w:val="24"/>
      </w:rPr>
    </w:lvl>
    <w:lvl w:ilvl="2">
      <w:start w:val="1"/>
      <w:numFmt w:val="lowerLetter"/>
      <w:lvlText w:val="%3."/>
      <w:lvlJc w:val="left"/>
      <w:pPr>
        <w:tabs>
          <w:tab w:val="num" w:pos="1224"/>
        </w:tabs>
        <w:ind w:left="1224" w:hanging="504"/>
      </w:pPr>
      <w:rPr>
        <w:rFonts w:cs="Times New Roman" w:hint="eastAsia"/>
        <w:spacing w:val="0"/>
      </w:rPr>
    </w:lvl>
    <w:lvl w:ilvl="3">
      <w:start w:val="1"/>
      <w:numFmt w:val="lowerRoman"/>
      <w:lvlText w:val="%4."/>
      <w:lvlJc w:val="left"/>
      <w:pPr>
        <w:tabs>
          <w:tab w:val="num" w:pos="1728"/>
        </w:tabs>
        <w:ind w:left="1728" w:hanging="648"/>
      </w:pPr>
      <w:rPr>
        <w:rFonts w:ascii="Times New Roman" w:hAnsi="Times New Roman" w:cs="Times New Roman" w:hint="default"/>
        <w:b w:val="0"/>
        <w:i w:val="0"/>
        <w:color w:val="auto"/>
        <w:spacing w:val="0"/>
        <w:sz w:val="24"/>
        <w:u w:val="none"/>
      </w:rPr>
    </w:lvl>
    <w:lvl w:ilvl="4">
      <w:start w:val="1"/>
      <w:numFmt w:val="bullet"/>
      <w:lvlText w:val=""/>
      <w:lvlJc w:val="left"/>
      <w:pPr>
        <w:tabs>
          <w:tab w:val="num" w:pos="2232"/>
        </w:tabs>
        <w:ind w:left="2232" w:hanging="792"/>
      </w:pPr>
      <w:rPr>
        <w:rFonts w:ascii="Symbol" w:hAnsi="Symbol" w:hint="default"/>
        <w:color w:val="auto"/>
        <w:spacing w:val="0"/>
      </w:rPr>
    </w:lvl>
    <w:lvl w:ilvl="5">
      <w:start w:val="1"/>
      <w:numFmt w:val="bullet"/>
      <w:lvlText w:val=""/>
      <w:lvlJc w:val="left"/>
      <w:pPr>
        <w:tabs>
          <w:tab w:val="num" w:pos="2880"/>
        </w:tabs>
        <w:ind w:left="2736" w:hanging="936"/>
      </w:pPr>
      <w:rPr>
        <w:rFonts w:ascii="Symbol" w:hAnsi="Symbol" w:hint="default"/>
        <w:color w:val="auto"/>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num w:numId="1">
    <w:abstractNumId w:val="5"/>
  </w:num>
  <w:num w:numId="2">
    <w:abstractNumId w:val="11"/>
  </w:num>
  <w:num w:numId="3">
    <w:abstractNumId w:val="1"/>
  </w:num>
  <w:num w:numId="4">
    <w:abstractNumId w:val="0"/>
  </w:num>
  <w:num w:numId="5">
    <w:abstractNumId w:val="2"/>
  </w:num>
  <w:num w:numId="6">
    <w:abstractNumId w:val="3"/>
  </w:num>
  <w:num w:numId="7">
    <w:abstractNumId w:val="7"/>
  </w:num>
  <w:num w:numId="8">
    <w:abstractNumId w:val="12"/>
  </w:num>
  <w:num w:numId="9">
    <w:abstractNumId w:val="16"/>
  </w:num>
  <w:num w:numId="10">
    <w:abstractNumId w:val="4"/>
  </w:num>
  <w:num w:numId="11">
    <w:abstractNumId w:val="9"/>
  </w:num>
  <w:num w:numId="12">
    <w:abstractNumId w:val="15"/>
  </w:num>
  <w:num w:numId="13">
    <w:abstractNumId w:val="13"/>
  </w:num>
  <w:num w:numId="14">
    <w:abstractNumId w:val="14"/>
  </w:num>
  <w:num w:numId="15">
    <w:abstractNumId w:val="8"/>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D1"/>
    <w:rsid w:val="000751B7"/>
    <w:rsid w:val="000E7CFD"/>
    <w:rsid w:val="001255D8"/>
    <w:rsid w:val="0013717F"/>
    <w:rsid w:val="00182869"/>
    <w:rsid w:val="00363FBD"/>
    <w:rsid w:val="003A5056"/>
    <w:rsid w:val="003B4635"/>
    <w:rsid w:val="00534BC3"/>
    <w:rsid w:val="005555E4"/>
    <w:rsid w:val="005C010D"/>
    <w:rsid w:val="005C797F"/>
    <w:rsid w:val="005F2816"/>
    <w:rsid w:val="00671403"/>
    <w:rsid w:val="00735F17"/>
    <w:rsid w:val="00775870"/>
    <w:rsid w:val="00883ECE"/>
    <w:rsid w:val="00916FC6"/>
    <w:rsid w:val="00942AE9"/>
    <w:rsid w:val="009B704F"/>
    <w:rsid w:val="00A242F8"/>
    <w:rsid w:val="00BF0463"/>
    <w:rsid w:val="00CC12A1"/>
    <w:rsid w:val="00D621B4"/>
    <w:rsid w:val="00D801D1"/>
    <w:rsid w:val="00E12D86"/>
    <w:rsid w:val="00E92371"/>
    <w:rsid w:val="00EF6082"/>
    <w:rsid w:val="00FF48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B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801D1"/>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aliases w:val="Footnote Text Char, Char,Char"/>
    <w:basedOn w:val="Normal"/>
    <w:link w:val="TextodenotaderodapChar"/>
    <w:unhideWhenUsed/>
    <w:rsid w:val="00D801D1"/>
    <w:rPr>
      <w:sz w:val="20"/>
      <w:szCs w:val="20"/>
    </w:rPr>
  </w:style>
  <w:style w:type="character" w:customStyle="1" w:styleId="TextodenotaderodapChar">
    <w:name w:val="Texto de nota de rodapé Char"/>
    <w:aliases w:val="Footnote Text Char Char, Char Char,Char Char"/>
    <w:basedOn w:val="Fontepargpadro"/>
    <w:link w:val="Textodenotaderodap"/>
    <w:rsid w:val="00D801D1"/>
    <w:rPr>
      <w:sz w:val="20"/>
      <w:szCs w:val="20"/>
    </w:rPr>
  </w:style>
  <w:style w:type="character" w:styleId="Refdenotaderodap">
    <w:name w:val="footnote reference"/>
    <w:basedOn w:val="Fontepargpadro"/>
    <w:unhideWhenUsed/>
    <w:rsid w:val="00D801D1"/>
    <w:rPr>
      <w:vertAlign w:val="superscript"/>
    </w:rPr>
  </w:style>
  <w:style w:type="character" w:styleId="Hyperlink">
    <w:name w:val="Hyperlink"/>
    <w:basedOn w:val="Fontepargpadro"/>
    <w:uiPriority w:val="99"/>
    <w:unhideWhenUsed/>
    <w:rsid w:val="000751B7"/>
    <w:rPr>
      <w:color w:val="0563C1" w:themeColor="hyperlink"/>
      <w:u w:val="single"/>
    </w:rPr>
  </w:style>
  <w:style w:type="table" w:styleId="Tabelacomgrade">
    <w:name w:val="Table Grid"/>
    <w:basedOn w:val="Tabelanormal"/>
    <w:uiPriority w:val="59"/>
    <w:rsid w:val="0007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F0463"/>
    <w:pPr>
      <w:tabs>
        <w:tab w:val="center" w:pos="4252"/>
        <w:tab w:val="right" w:pos="8504"/>
      </w:tabs>
    </w:pPr>
  </w:style>
  <w:style w:type="character" w:customStyle="1" w:styleId="CabealhoChar">
    <w:name w:val="Cabeçalho Char"/>
    <w:basedOn w:val="Fontepargpadro"/>
    <w:link w:val="Cabealho"/>
    <w:uiPriority w:val="99"/>
    <w:rsid w:val="00BF046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F0463"/>
    <w:pPr>
      <w:tabs>
        <w:tab w:val="center" w:pos="4252"/>
        <w:tab w:val="right" w:pos="8504"/>
      </w:tabs>
    </w:pPr>
  </w:style>
  <w:style w:type="character" w:customStyle="1" w:styleId="RodapChar">
    <w:name w:val="Rodapé Char"/>
    <w:basedOn w:val="Fontepargpadro"/>
    <w:link w:val="Rodap"/>
    <w:uiPriority w:val="99"/>
    <w:rsid w:val="00BF046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5056"/>
    <w:rPr>
      <w:rFonts w:ascii="Tahoma" w:hAnsi="Tahoma" w:cs="Tahoma"/>
      <w:sz w:val="16"/>
      <w:szCs w:val="16"/>
    </w:rPr>
  </w:style>
  <w:style w:type="character" w:customStyle="1" w:styleId="TextodebaloChar">
    <w:name w:val="Texto de balão Char"/>
    <w:basedOn w:val="Fontepargpadro"/>
    <w:link w:val="Textodebalo"/>
    <w:uiPriority w:val="99"/>
    <w:semiHidden/>
    <w:rsid w:val="003A505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B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801D1"/>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aliases w:val="Footnote Text Char, Char,Char"/>
    <w:basedOn w:val="Normal"/>
    <w:link w:val="TextodenotaderodapChar"/>
    <w:unhideWhenUsed/>
    <w:rsid w:val="00D801D1"/>
    <w:rPr>
      <w:sz w:val="20"/>
      <w:szCs w:val="20"/>
    </w:rPr>
  </w:style>
  <w:style w:type="character" w:customStyle="1" w:styleId="TextodenotaderodapChar">
    <w:name w:val="Texto de nota de rodapé Char"/>
    <w:aliases w:val="Footnote Text Char Char, Char Char,Char Char"/>
    <w:basedOn w:val="Fontepargpadro"/>
    <w:link w:val="Textodenotaderodap"/>
    <w:rsid w:val="00D801D1"/>
    <w:rPr>
      <w:sz w:val="20"/>
      <w:szCs w:val="20"/>
    </w:rPr>
  </w:style>
  <w:style w:type="character" w:styleId="Refdenotaderodap">
    <w:name w:val="footnote reference"/>
    <w:basedOn w:val="Fontepargpadro"/>
    <w:unhideWhenUsed/>
    <w:rsid w:val="00D801D1"/>
    <w:rPr>
      <w:vertAlign w:val="superscript"/>
    </w:rPr>
  </w:style>
  <w:style w:type="character" w:styleId="Hyperlink">
    <w:name w:val="Hyperlink"/>
    <w:basedOn w:val="Fontepargpadro"/>
    <w:uiPriority w:val="99"/>
    <w:unhideWhenUsed/>
    <w:rsid w:val="000751B7"/>
    <w:rPr>
      <w:color w:val="0563C1" w:themeColor="hyperlink"/>
      <w:u w:val="single"/>
    </w:rPr>
  </w:style>
  <w:style w:type="table" w:styleId="Tabelacomgrade">
    <w:name w:val="Table Grid"/>
    <w:basedOn w:val="Tabelanormal"/>
    <w:uiPriority w:val="59"/>
    <w:rsid w:val="0007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F0463"/>
    <w:pPr>
      <w:tabs>
        <w:tab w:val="center" w:pos="4252"/>
        <w:tab w:val="right" w:pos="8504"/>
      </w:tabs>
    </w:pPr>
  </w:style>
  <w:style w:type="character" w:customStyle="1" w:styleId="CabealhoChar">
    <w:name w:val="Cabeçalho Char"/>
    <w:basedOn w:val="Fontepargpadro"/>
    <w:link w:val="Cabealho"/>
    <w:uiPriority w:val="99"/>
    <w:rsid w:val="00BF046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F0463"/>
    <w:pPr>
      <w:tabs>
        <w:tab w:val="center" w:pos="4252"/>
        <w:tab w:val="right" w:pos="8504"/>
      </w:tabs>
    </w:pPr>
  </w:style>
  <w:style w:type="character" w:customStyle="1" w:styleId="RodapChar">
    <w:name w:val="Rodapé Char"/>
    <w:basedOn w:val="Fontepargpadro"/>
    <w:link w:val="Rodap"/>
    <w:uiPriority w:val="99"/>
    <w:rsid w:val="00BF046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5056"/>
    <w:rPr>
      <w:rFonts w:ascii="Tahoma" w:hAnsi="Tahoma" w:cs="Tahoma"/>
      <w:sz w:val="16"/>
      <w:szCs w:val="16"/>
    </w:rPr>
  </w:style>
  <w:style w:type="character" w:customStyle="1" w:styleId="TextodebaloChar">
    <w:name w:val="Texto de balão Char"/>
    <w:basedOn w:val="Fontepargpadro"/>
    <w:link w:val="Textodebalo"/>
    <w:uiPriority w:val="99"/>
    <w:semiHidden/>
    <w:rsid w:val="003A505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2819">
      <w:bodyDiv w:val="1"/>
      <w:marLeft w:val="0"/>
      <w:marRight w:val="0"/>
      <w:marTop w:val="0"/>
      <w:marBottom w:val="0"/>
      <w:divBdr>
        <w:top w:val="none" w:sz="0" w:space="0" w:color="auto"/>
        <w:left w:val="none" w:sz="0" w:space="0" w:color="auto"/>
        <w:bottom w:val="none" w:sz="0" w:space="0" w:color="auto"/>
        <w:right w:val="none" w:sz="0" w:space="0" w:color="auto"/>
      </w:divBdr>
    </w:div>
    <w:div w:id="11826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m.gov.br/legislacao/instrucoes/inst480.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elesc.firbweb.com.br/informaes-financeiras-2/arquivos-cvm/" TargetMode="External"/><Relationship Id="rId4" Type="http://schemas.openxmlformats.org/officeDocument/2006/relationships/settings" Target="settings.xml"/><Relationship Id="rId9" Type="http://schemas.openxmlformats.org/officeDocument/2006/relationships/hyperlink" Target="http://www.cvm.gov.br/legislacao/oficios-circulares/sep/oc-sep-011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1776</Words>
  <Characters>9595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TOMAZ PEREIRA GUIMARAES</dc:creator>
  <cp:lastModifiedBy>Aginolfo José Nau Júnior</cp:lastModifiedBy>
  <cp:revision>8</cp:revision>
  <cp:lastPrinted>2018-02-15T16:31:00Z</cp:lastPrinted>
  <dcterms:created xsi:type="dcterms:W3CDTF">2017-12-12T19:40:00Z</dcterms:created>
  <dcterms:modified xsi:type="dcterms:W3CDTF">2018-02-15T16:31:00Z</dcterms:modified>
</cp:coreProperties>
</file>