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6" w:rsidRPr="007241B3" w:rsidRDefault="00675156" w:rsidP="00C20E7B">
      <w:pPr>
        <w:pStyle w:val="SemEspaamento"/>
        <w:rPr>
          <w:rFonts w:ascii="Arial" w:eastAsia="Arial" w:hAnsi="Arial" w:cs="Arial"/>
          <w:sz w:val="22"/>
          <w:szCs w:val="22"/>
        </w:rPr>
      </w:pPr>
    </w:p>
    <w:p w:rsidR="00675156" w:rsidRPr="00865AF5" w:rsidRDefault="002E4E89" w:rsidP="00C20E7B">
      <w:pPr>
        <w:pStyle w:val="SemEspaamento"/>
        <w:rPr>
          <w:rFonts w:ascii="Arial" w:eastAsia="Arial" w:hAnsi="Arial" w:cs="Arial"/>
          <w:b/>
          <w:sz w:val="22"/>
          <w:szCs w:val="22"/>
        </w:rPr>
      </w:pPr>
      <w:r w:rsidRPr="00865AF5">
        <w:rPr>
          <w:rFonts w:ascii="Arial" w:eastAsia="Arial" w:hAnsi="Arial" w:cs="Arial"/>
          <w:b/>
          <w:sz w:val="22"/>
          <w:szCs w:val="22"/>
        </w:rPr>
        <w:t>ATO DIAT</w:t>
      </w:r>
      <w:r w:rsidR="00A66A48" w:rsidRPr="00865AF5">
        <w:rPr>
          <w:rFonts w:ascii="Arial" w:eastAsia="Arial" w:hAnsi="Arial" w:cs="Arial"/>
          <w:b/>
          <w:sz w:val="22"/>
          <w:szCs w:val="22"/>
        </w:rPr>
        <w:t xml:space="preserve"> </w:t>
      </w:r>
      <w:r w:rsidR="001D6C9A" w:rsidRPr="00865AF5">
        <w:rPr>
          <w:rFonts w:ascii="Arial" w:eastAsia="Arial" w:hAnsi="Arial" w:cs="Arial"/>
          <w:b/>
          <w:sz w:val="22"/>
          <w:szCs w:val="22"/>
        </w:rPr>
        <w:t xml:space="preserve">N° </w:t>
      </w:r>
      <w:r w:rsidR="0084405B">
        <w:rPr>
          <w:rFonts w:ascii="Arial" w:eastAsia="Arial" w:hAnsi="Arial" w:cs="Arial"/>
          <w:b/>
          <w:sz w:val="22"/>
          <w:szCs w:val="22"/>
        </w:rPr>
        <w:t>025</w:t>
      </w:r>
      <w:r w:rsidR="00ED5052" w:rsidRPr="00865AF5">
        <w:rPr>
          <w:rFonts w:ascii="Arial" w:eastAsia="Arial" w:hAnsi="Arial" w:cs="Arial"/>
          <w:b/>
          <w:sz w:val="22"/>
          <w:szCs w:val="22"/>
        </w:rPr>
        <w:t>/</w:t>
      </w:r>
      <w:r w:rsidR="00E609ED" w:rsidRPr="00865AF5">
        <w:rPr>
          <w:rFonts w:ascii="Arial" w:eastAsia="Arial" w:hAnsi="Arial" w:cs="Arial"/>
          <w:b/>
          <w:sz w:val="22"/>
          <w:szCs w:val="22"/>
        </w:rPr>
        <w:t>202</w:t>
      </w:r>
      <w:r w:rsidR="006E4F0F">
        <w:rPr>
          <w:rFonts w:ascii="Arial" w:eastAsia="Arial" w:hAnsi="Arial" w:cs="Arial"/>
          <w:b/>
          <w:sz w:val="22"/>
          <w:szCs w:val="22"/>
        </w:rPr>
        <w:t>3</w:t>
      </w: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E94E58" w:rsidRPr="00865AF5" w:rsidRDefault="00E94E5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E94E58" w:rsidRPr="00865AF5" w:rsidRDefault="00E94E5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2F6123" w:rsidRPr="002F6123" w:rsidRDefault="002F6123" w:rsidP="00C20E7B">
      <w:pPr>
        <w:pStyle w:val="ementa"/>
        <w:spacing w:before="0" w:beforeAutospacing="0" w:after="0" w:afterAutospacing="0"/>
        <w:ind w:left="255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F6123">
        <w:rPr>
          <w:rFonts w:ascii="Arial" w:hAnsi="Arial" w:cs="Arial"/>
          <w:bCs/>
          <w:color w:val="000000"/>
          <w:sz w:val="22"/>
          <w:szCs w:val="22"/>
        </w:rPr>
        <w:t xml:space="preserve">Aprova o Guia Prático de Escrituração de Incentivos e Benefícios Fiscais, com o objetivo de sistematizar e padronizar as informações que deverão constar nos documentos fiscais eletrônicos e na escrituração fiscal dos contribuintes beneficiados. </w:t>
      </w:r>
    </w:p>
    <w:p w:rsidR="002F6123" w:rsidRPr="002F6123" w:rsidRDefault="002F6123" w:rsidP="00C20E7B">
      <w:pPr>
        <w:pStyle w:val="Standard"/>
        <w:ind w:left="2552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emEspaamento"/>
        <w:ind w:right="67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emEspaamento"/>
        <w:ind w:right="67"/>
        <w:jc w:val="both"/>
        <w:rPr>
          <w:rFonts w:ascii="Arial" w:hAnsi="Arial" w:cs="Arial"/>
          <w:sz w:val="22"/>
          <w:szCs w:val="22"/>
        </w:rPr>
      </w:pPr>
    </w:p>
    <w:p w:rsidR="00A66A48" w:rsidRPr="00865AF5" w:rsidRDefault="006A016C" w:rsidP="00C20E7B">
      <w:pPr>
        <w:pStyle w:val="SemEspaamento"/>
        <w:ind w:firstLine="2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865AF5" w:rsidRPr="00865AF5">
        <w:rPr>
          <w:rFonts w:ascii="Arial" w:eastAsia="Arial" w:hAnsi="Arial" w:cs="Arial"/>
          <w:sz w:val="22"/>
          <w:szCs w:val="22"/>
        </w:rPr>
        <w:t xml:space="preserve"> </w:t>
      </w:r>
      <w:r w:rsidR="00865AF5" w:rsidRPr="00865AF5">
        <w:rPr>
          <w:rFonts w:ascii="Arial" w:eastAsia="Arial" w:hAnsi="Arial" w:cs="Arial"/>
          <w:b/>
          <w:sz w:val="22"/>
          <w:szCs w:val="22"/>
        </w:rPr>
        <w:t>DIRETOR DE ADMINISTRAÇÃO TRIBUTÁRIA</w:t>
      </w:r>
      <w:r w:rsidR="00865AF5" w:rsidRPr="00865AF5">
        <w:rPr>
          <w:rFonts w:ascii="Arial" w:eastAsia="Arial" w:hAnsi="Arial" w:cs="Arial"/>
          <w:sz w:val="22"/>
          <w:szCs w:val="22"/>
        </w:rPr>
        <w:t xml:space="preserve">, no uso de sua competência estabelecida </w:t>
      </w:r>
      <w:r w:rsidRPr="006A016C">
        <w:rPr>
          <w:rFonts w:ascii="Arial" w:eastAsia="Arial" w:hAnsi="Arial" w:cs="Arial"/>
          <w:sz w:val="22"/>
          <w:szCs w:val="22"/>
        </w:rPr>
        <w:t>no uso de sua competência estabelecida no art. 17 do Regimento Interno da Secretaria de Estado da Fazenda, aprovado pelo Decreto nº 2.094, de 28 de julho de 2022</w:t>
      </w:r>
      <w:r w:rsidR="00865AF5" w:rsidRPr="00865AF5">
        <w:rPr>
          <w:rFonts w:ascii="Arial" w:eastAsia="Arial" w:hAnsi="Arial" w:cs="Arial"/>
          <w:sz w:val="22"/>
          <w:szCs w:val="22"/>
        </w:rPr>
        <w:t>,</w:t>
      </w:r>
    </w:p>
    <w:p w:rsidR="00A66A48" w:rsidRPr="00865AF5" w:rsidRDefault="00A66A48" w:rsidP="00C20E7B">
      <w:pPr>
        <w:pStyle w:val="SemEspaamento"/>
        <w:ind w:firstLine="2268"/>
        <w:jc w:val="both"/>
        <w:rPr>
          <w:rFonts w:ascii="Arial" w:eastAsia="Arial" w:hAnsi="Arial" w:cs="Arial"/>
          <w:sz w:val="22"/>
          <w:szCs w:val="22"/>
        </w:rPr>
      </w:pPr>
    </w:p>
    <w:p w:rsidR="00865AF5" w:rsidRPr="00865AF5" w:rsidRDefault="00865AF5" w:rsidP="00C20E7B">
      <w:pPr>
        <w:pStyle w:val="SemEspaamento"/>
        <w:ind w:firstLine="2268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  <w:r w:rsidRPr="00865AF5">
        <w:rPr>
          <w:rFonts w:ascii="Arial" w:eastAsia="Arial" w:hAnsi="Arial" w:cs="Arial"/>
          <w:b/>
          <w:sz w:val="22"/>
          <w:szCs w:val="22"/>
        </w:rPr>
        <w:t>RESOLVE:</w:t>
      </w:r>
    </w:p>
    <w:p w:rsidR="00A66A48" w:rsidRPr="00865AF5" w:rsidRDefault="00A66A48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  <w:r w:rsidRPr="002F6123">
        <w:rPr>
          <w:rFonts w:ascii="Arial" w:eastAsia="Arial" w:hAnsi="Arial" w:cs="Arial"/>
          <w:sz w:val="22"/>
          <w:szCs w:val="22"/>
        </w:rPr>
        <w:t>Art. 1º Aprovar o Guia Prático de Escrituração de Incentivos e Benefícios Fiscais, com o objetivo de sistematizar e padronizar as informações que deverão constar nos documentos fiscais eletrônicos e na escrituração fiscal dos contribuintes que promoverem operações e prestações alcançadas por crédito presumido, diferimento, isenção, redução de base de cálculo e suspensão da exigibilidade do ICMS, nos termos do Regulame</w:t>
      </w:r>
      <w:r w:rsidR="0084405B">
        <w:rPr>
          <w:rFonts w:ascii="Arial" w:eastAsia="Arial" w:hAnsi="Arial" w:cs="Arial"/>
          <w:sz w:val="22"/>
          <w:szCs w:val="22"/>
        </w:rPr>
        <w:t>nto do ICMS de Santa Catarina (</w:t>
      </w:r>
      <w:r w:rsidRPr="002F6123">
        <w:rPr>
          <w:rFonts w:ascii="Arial" w:eastAsia="Arial" w:hAnsi="Arial" w:cs="Arial"/>
          <w:sz w:val="22"/>
          <w:szCs w:val="22"/>
        </w:rPr>
        <w:t>RICMS/SC</w:t>
      </w:r>
      <w:r>
        <w:rPr>
          <w:rFonts w:ascii="Arial" w:eastAsia="Arial" w:hAnsi="Arial" w:cs="Arial"/>
          <w:sz w:val="22"/>
          <w:szCs w:val="22"/>
        </w:rPr>
        <w:t>-01</w:t>
      </w:r>
      <w:r w:rsidR="0084405B">
        <w:rPr>
          <w:rFonts w:ascii="Arial" w:eastAsia="Arial" w:hAnsi="Arial" w:cs="Arial"/>
          <w:sz w:val="22"/>
          <w:szCs w:val="22"/>
        </w:rPr>
        <w:t>)</w:t>
      </w:r>
      <w:r w:rsidRPr="002F6123">
        <w:rPr>
          <w:rFonts w:ascii="Arial" w:eastAsia="Arial" w:hAnsi="Arial" w:cs="Arial"/>
          <w:sz w:val="22"/>
          <w:szCs w:val="22"/>
        </w:rPr>
        <w:t>, aprovado pelo Decreto Estadual nº 2.870, de 27 de agosto de 2001.</w:t>
      </w:r>
    </w:p>
    <w:p w:rsidR="002F6123" w:rsidRP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  <w:r w:rsidRPr="002F6123">
        <w:rPr>
          <w:rFonts w:ascii="Arial" w:eastAsia="Arial" w:hAnsi="Arial" w:cs="Arial"/>
          <w:sz w:val="22"/>
          <w:szCs w:val="22"/>
        </w:rPr>
        <w:t xml:space="preserve">Art. 2º </w:t>
      </w:r>
      <w:bookmarkStart w:id="0" w:name="_GoBack"/>
      <w:bookmarkEnd w:id="0"/>
      <w:r w:rsidRPr="002F6123">
        <w:rPr>
          <w:rFonts w:ascii="Arial" w:eastAsia="Arial" w:hAnsi="Arial" w:cs="Arial"/>
          <w:sz w:val="22"/>
          <w:szCs w:val="22"/>
        </w:rPr>
        <w:t xml:space="preserve">O Guia Prático de que trata o </w:t>
      </w:r>
      <w:r w:rsidRPr="002F6123">
        <w:rPr>
          <w:rFonts w:ascii="Arial" w:eastAsia="Arial" w:hAnsi="Arial" w:cs="Arial"/>
          <w:i/>
          <w:sz w:val="22"/>
          <w:szCs w:val="22"/>
        </w:rPr>
        <w:t>caput</w:t>
      </w:r>
      <w:r w:rsidRPr="002F6123">
        <w:rPr>
          <w:rFonts w:ascii="Arial" w:eastAsia="Arial" w:hAnsi="Arial" w:cs="Arial"/>
          <w:sz w:val="22"/>
          <w:szCs w:val="22"/>
        </w:rPr>
        <w:t xml:space="preserve"> do </w:t>
      </w:r>
      <w:r>
        <w:rPr>
          <w:rFonts w:ascii="Arial" w:eastAsia="Arial" w:hAnsi="Arial" w:cs="Arial"/>
          <w:sz w:val="22"/>
          <w:szCs w:val="22"/>
        </w:rPr>
        <w:t>a</w:t>
      </w:r>
      <w:r w:rsidR="00C20E7B">
        <w:rPr>
          <w:rFonts w:ascii="Arial" w:eastAsia="Arial" w:hAnsi="Arial" w:cs="Arial"/>
          <w:sz w:val="22"/>
          <w:szCs w:val="22"/>
        </w:rPr>
        <w:t>rt. 1º</w:t>
      </w:r>
      <w:r w:rsidRPr="002F6123">
        <w:rPr>
          <w:rFonts w:ascii="Arial" w:eastAsia="Arial" w:hAnsi="Arial" w:cs="Arial"/>
          <w:sz w:val="22"/>
          <w:szCs w:val="22"/>
        </w:rPr>
        <w:t xml:space="preserve"> deste Ato ficará disponível no endereço eletrônico da Secretaria de Estado da Fazenda de Santa Catarina, na aba “Incentivos Fiscais”, localizada dentro da guia “Todos os Assuntos” da seção “Serviços e Orientações”.</w:t>
      </w:r>
    </w:p>
    <w:p w:rsidR="002F6123" w:rsidRP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2F6123" w:rsidRDefault="0084405B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 único. As alterações n</w:t>
      </w:r>
      <w:r w:rsidR="002F6123" w:rsidRPr="002F6123">
        <w:rPr>
          <w:rFonts w:ascii="Arial" w:eastAsia="Arial" w:hAnsi="Arial" w:cs="Arial"/>
          <w:sz w:val="22"/>
          <w:szCs w:val="22"/>
        </w:rPr>
        <w:t xml:space="preserve">o Guia Prático serão efetuadas diretamente no endereço eletrônico de que trata o </w:t>
      </w:r>
      <w:r w:rsidR="002F6123" w:rsidRPr="002F6123">
        <w:rPr>
          <w:rFonts w:ascii="Arial" w:eastAsia="Arial" w:hAnsi="Arial" w:cs="Arial"/>
          <w:i/>
          <w:sz w:val="22"/>
          <w:szCs w:val="22"/>
        </w:rPr>
        <w:t>caput</w:t>
      </w:r>
      <w:r w:rsidR="002F6123" w:rsidRPr="002F6123">
        <w:rPr>
          <w:rFonts w:ascii="Arial" w:eastAsia="Arial" w:hAnsi="Arial" w:cs="Arial"/>
          <w:sz w:val="22"/>
          <w:szCs w:val="22"/>
        </w:rPr>
        <w:t xml:space="preserve"> deste artigo e serão divulgadas por </w:t>
      </w:r>
      <w:r w:rsidR="00C20E7B" w:rsidRPr="00A720D9">
        <w:rPr>
          <w:rFonts w:ascii="Arial" w:eastAsia="Arial" w:hAnsi="Arial" w:cs="Arial"/>
          <w:sz w:val="22"/>
          <w:szCs w:val="22"/>
        </w:rPr>
        <w:t xml:space="preserve">meio de </w:t>
      </w:r>
      <w:r w:rsidR="002F6123" w:rsidRPr="00A720D9">
        <w:rPr>
          <w:rFonts w:ascii="Arial" w:eastAsia="Arial" w:hAnsi="Arial" w:cs="Arial"/>
          <w:sz w:val="22"/>
          <w:szCs w:val="22"/>
        </w:rPr>
        <w:t>Correio</w:t>
      </w:r>
      <w:r w:rsidR="002F6123" w:rsidRPr="002F6123">
        <w:rPr>
          <w:rFonts w:ascii="Arial" w:eastAsia="Arial" w:hAnsi="Arial" w:cs="Arial"/>
          <w:sz w:val="22"/>
          <w:szCs w:val="22"/>
        </w:rPr>
        <w:t xml:space="preserve"> Eletrônico Circular.</w:t>
      </w:r>
    </w:p>
    <w:p w:rsidR="002F6123" w:rsidRP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  <w:r w:rsidRPr="002F6123">
        <w:rPr>
          <w:rFonts w:ascii="Arial" w:eastAsia="Arial" w:hAnsi="Arial" w:cs="Arial"/>
          <w:sz w:val="22"/>
          <w:szCs w:val="22"/>
        </w:rPr>
        <w:t>Art. 3º Este Ato entra em vigor na data de sua publicação.</w:t>
      </w:r>
    </w:p>
    <w:p w:rsidR="002F6123" w:rsidRDefault="002F6123" w:rsidP="00C20E7B">
      <w:pPr>
        <w:pStyle w:val="Standard"/>
        <w:ind w:firstLine="2551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ind w:left="1842" w:firstLine="709"/>
        <w:rPr>
          <w:rFonts w:ascii="Arial" w:eastAsia="Arial" w:hAnsi="Arial" w:cs="Arial"/>
          <w:sz w:val="22"/>
          <w:szCs w:val="22"/>
        </w:rPr>
      </w:pPr>
      <w:r w:rsidRPr="00865AF5">
        <w:rPr>
          <w:rFonts w:ascii="Arial" w:eastAsia="Arial" w:hAnsi="Arial" w:cs="Arial"/>
          <w:sz w:val="22"/>
          <w:szCs w:val="22"/>
        </w:rPr>
        <w:t>Florianópolis,</w:t>
      </w:r>
      <w:r w:rsidR="00943D72" w:rsidRPr="00865AF5">
        <w:rPr>
          <w:rFonts w:ascii="Arial" w:eastAsia="Arial" w:hAnsi="Arial" w:cs="Arial"/>
          <w:sz w:val="22"/>
          <w:szCs w:val="22"/>
        </w:rPr>
        <w:t xml:space="preserve"> </w:t>
      </w:r>
      <w:r w:rsidR="006A016C">
        <w:rPr>
          <w:rFonts w:ascii="Arial" w:eastAsia="Arial" w:hAnsi="Arial" w:cs="Arial"/>
          <w:sz w:val="22"/>
          <w:szCs w:val="22"/>
        </w:rPr>
        <w:t>10</w:t>
      </w:r>
      <w:r w:rsidR="006E4F0F">
        <w:rPr>
          <w:rFonts w:ascii="Arial" w:eastAsia="Arial" w:hAnsi="Arial" w:cs="Arial"/>
          <w:sz w:val="22"/>
          <w:szCs w:val="22"/>
        </w:rPr>
        <w:t xml:space="preserve"> </w:t>
      </w:r>
      <w:r w:rsidR="00865AF5" w:rsidRPr="00865AF5">
        <w:rPr>
          <w:rFonts w:ascii="Arial" w:eastAsia="Arial" w:hAnsi="Arial" w:cs="Arial"/>
          <w:sz w:val="22"/>
          <w:szCs w:val="22"/>
        </w:rPr>
        <w:t xml:space="preserve">de </w:t>
      </w:r>
      <w:r w:rsidR="006E4F0F">
        <w:rPr>
          <w:rFonts w:ascii="Arial" w:eastAsia="Arial" w:hAnsi="Arial" w:cs="Arial"/>
          <w:sz w:val="22"/>
          <w:szCs w:val="22"/>
        </w:rPr>
        <w:t>abril</w:t>
      </w:r>
      <w:r w:rsidR="00943D72" w:rsidRPr="00865AF5">
        <w:rPr>
          <w:rFonts w:ascii="Arial" w:eastAsia="Arial" w:hAnsi="Arial" w:cs="Arial"/>
          <w:sz w:val="22"/>
          <w:szCs w:val="22"/>
        </w:rPr>
        <w:t xml:space="preserve"> de 202</w:t>
      </w:r>
      <w:r w:rsidR="006E4F0F">
        <w:rPr>
          <w:rFonts w:ascii="Arial" w:eastAsia="Arial" w:hAnsi="Arial" w:cs="Arial"/>
          <w:sz w:val="22"/>
          <w:szCs w:val="22"/>
        </w:rPr>
        <w:t>3</w:t>
      </w:r>
      <w:r w:rsidR="00943D72" w:rsidRPr="00865AF5">
        <w:rPr>
          <w:rFonts w:ascii="Arial" w:eastAsia="Arial" w:hAnsi="Arial" w:cs="Arial"/>
          <w:sz w:val="22"/>
          <w:szCs w:val="22"/>
        </w:rPr>
        <w:t>.</w:t>
      </w: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A66A48" w:rsidRPr="00865AF5" w:rsidRDefault="00A66A48" w:rsidP="00C20E7B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6E4F0F" w:rsidRDefault="006A016C" w:rsidP="00C20E7B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DILSON JIROO TAKEYAMA</w:t>
      </w:r>
    </w:p>
    <w:p w:rsidR="00675156" w:rsidRPr="007241B3" w:rsidRDefault="006E4F0F" w:rsidP="00C20E7B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Diretor</w:t>
      </w:r>
      <w:r w:rsidR="00865AF5" w:rsidRPr="00865AF5">
        <w:rPr>
          <w:rFonts w:ascii="Arial" w:eastAsia="Arial" w:hAnsi="Arial" w:cs="Arial"/>
          <w:sz w:val="22"/>
          <w:szCs w:val="22"/>
        </w:rPr>
        <w:t xml:space="preserve"> de Administração Tributária</w:t>
      </w:r>
    </w:p>
    <w:sectPr w:rsidR="00675156" w:rsidRPr="007241B3" w:rsidSect="006A016C">
      <w:headerReference w:type="default" r:id="rId7"/>
      <w:footerReference w:type="default" r:id="rId8"/>
      <w:type w:val="continuous"/>
      <w:pgSz w:w="11906" w:h="16838"/>
      <w:pgMar w:top="1418" w:right="1418" w:bottom="1418" w:left="1701" w:header="283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A8" w:rsidRDefault="000753A8">
      <w:r>
        <w:separator/>
      </w:r>
    </w:p>
  </w:endnote>
  <w:endnote w:type="continuationSeparator" w:id="0">
    <w:p w:rsidR="000753A8" w:rsidRDefault="0007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Liberation Sans">
    <w:altName w:val="MV Bol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52" w:rsidRPr="009A6346" w:rsidRDefault="00ED5052" w:rsidP="00152FFB">
    <w:pPr>
      <w:pStyle w:val="Rodap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A8" w:rsidRDefault="000753A8">
      <w:pPr>
        <w:pStyle w:val="GenStyleDefPar"/>
      </w:pPr>
      <w:r>
        <w:separator/>
      </w:r>
    </w:p>
  </w:footnote>
  <w:footnote w:type="continuationSeparator" w:id="0">
    <w:p w:rsidR="000753A8" w:rsidRDefault="000753A8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 w:rsidR="00675156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675156" w:rsidRDefault="001D6C9A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  <w:lang w:bidi="ar-SA"/>
            </w:rPr>
            <mc:AlternateContent>
              <mc:Choice Requires="wpg">
                <w:drawing>
                  <wp:inline distT="0" distB="0" distL="0" distR="0">
                    <wp:extent cx="533412" cy="565218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9770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675156" w:rsidRDefault="001D6C9A">
          <w:pPr>
            <w:pStyle w:val="GenStyleDefPar"/>
            <w:spacing w:line="283" w:lineRule="atLeast"/>
            <w:ind w:right="34"/>
            <w:rPr>
              <w:rFonts w:ascii="Arial"/>
              <w:color w:val="000000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:rsidR="006A016C" w:rsidRPr="006A016C" w:rsidRDefault="006A016C" w:rsidP="006A016C">
          <w:pPr>
            <w:pStyle w:val="GenStyleDefPar"/>
            <w:spacing w:line="283" w:lineRule="atLeast"/>
            <w:ind w:right="34"/>
            <w:rPr>
              <w:rFonts w:ascii="Arial"/>
              <w:color w:val="000000"/>
              <w:sz w:val="22"/>
            </w:rPr>
          </w:pPr>
          <w:r w:rsidRPr="006A016C">
            <w:rPr>
              <w:rFonts w:ascii="Arial"/>
              <w:color w:val="000000"/>
              <w:sz w:val="22"/>
            </w:rPr>
            <w:t>SECRETARIA DE ESTADO DA FAZENDA</w:t>
          </w:r>
        </w:p>
        <w:p w:rsidR="00ED5052" w:rsidRDefault="006A016C" w:rsidP="006A016C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 w:rsidRPr="006A016C">
            <w:rPr>
              <w:rFonts w:ascii="Arial"/>
              <w:color w:val="000000"/>
              <w:sz w:val="22"/>
            </w:rPr>
            <w:t>DIRETORIA DE ADMINISTRAÇÃO TRIBUTÁRIA</w:t>
          </w:r>
        </w:p>
      </w:tc>
    </w:tr>
  </w:tbl>
  <w:p w:rsidR="00675156" w:rsidRDefault="00675156">
    <w:pPr>
      <w:pStyle w:val="Cabealho"/>
      <w:tabs>
        <w:tab w:val="clear" w:pos="7143"/>
        <w:tab w:val="clear" w:pos="14287"/>
      </w:tabs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6"/>
    <w:rsid w:val="00026DDD"/>
    <w:rsid w:val="000753A8"/>
    <w:rsid w:val="000D0891"/>
    <w:rsid w:val="00111A37"/>
    <w:rsid w:val="001309FB"/>
    <w:rsid w:val="00152FFB"/>
    <w:rsid w:val="001C538A"/>
    <w:rsid w:val="001D6C9A"/>
    <w:rsid w:val="002062F3"/>
    <w:rsid w:val="00270705"/>
    <w:rsid w:val="00276E63"/>
    <w:rsid w:val="002E4E89"/>
    <w:rsid w:val="002E57DD"/>
    <w:rsid w:val="002F6123"/>
    <w:rsid w:val="003534AA"/>
    <w:rsid w:val="003A1691"/>
    <w:rsid w:val="003B26FB"/>
    <w:rsid w:val="0041603B"/>
    <w:rsid w:val="0043315F"/>
    <w:rsid w:val="0046546B"/>
    <w:rsid w:val="004D6E06"/>
    <w:rsid w:val="00520D81"/>
    <w:rsid w:val="005C204C"/>
    <w:rsid w:val="00675156"/>
    <w:rsid w:val="006A016C"/>
    <w:rsid w:val="006E4F0F"/>
    <w:rsid w:val="007124CE"/>
    <w:rsid w:val="007152E2"/>
    <w:rsid w:val="007241B3"/>
    <w:rsid w:val="00765B4F"/>
    <w:rsid w:val="00776B0E"/>
    <w:rsid w:val="0084405B"/>
    <w:rsid w:val="00865AF5"/>
    <w:rsid w:val="008707A8"/>
    <w:rsid w:val="008E06F7"/>
    <w:rsid w:val="00943D72"/>
    <w:rsid w:val="009A6346"/>
    <w:rsid w:val="009B146F"/>
    <w:rsid w:val="009B6B63"/>
    <w:rsid w:val="00A66A48"/>
    <w:rsid w:val="00A720D9"/>
    <w:rsid w:val="00B4136A"/>
    <w:rsid w:val="00BA7202"/>
    <w:rsid w:val="00C20E7B"/>
    <w:rsid w:val="00CE3D53"/>
    <w:rsid w:val="00CE6A8B"/>
    <w:rsid w:val="00E148CE"/>
    <w:rsid w:val="00E45E98"/>
    <w:rsid w:val="00E609ED"/>
    <w:rsid w:val="00E820A7"/>
    <w:rsid w:val="00E94E58"/>
    <w:rsid w:val="00EB0BDA"/>
    <w:rsid w:val="00ED5052"/>
    <w:rsid w:val="00EF6E25"/>
    <w:rsid w:val="00F62E8F"/>
    <w:rsid w:val="00F71A6C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7D8448-58E5-4EA3-8118-88EEDEB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character" w:styleId="HiperlinkVisitado">
    <w:name w:val="FollowedHyperlink"/>
    <w:basedOn w:val="Fontepargpadro"/>
    <w:uiPriority w:val="99"/>
    <w:semiHidden/>
    <w:unhideWhenUsed/>
    <w:rsid w:val="00520D81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2F61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5349-958E-4D29-80AD-F15E5E2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Rizza Ferraz</dc:creator>
  <cp:lastModifiedBy>Andre Capobiango Aquino</cp:lastModifiedBy>
  <cp:revision>5</cp:revision>
  <cp:lastPrinted>2022-04-08T19:42:00Z</cp:lastPrinted>
  <dcterms:created xsi:type="dcterms:W3CDTF">2023-04-10T20:48:00Z</dcterms:created>
  <dcterms:modified xsi:type="dcterms:W3CDTF">2023-04-10T21:38:00Z</dcterms:modified>
</cp:coreProperties>
</file>